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Practice</w:t>
      </w:r>
      <w:r>
        <w:t xml:space="preserve"> </w:t>
      </w:r>
      <w:r>
        <w:t xml:space="preserve">Performance</w:t>
      </w:r>
      <w:r>
        <w:t xml:space="preserve"> </w:t>
      </w:r>
      <w:r>
        <w:t xml:space="preserve">Report:</w:t>
      </w:r>
      <w:r>
        <w:t xml:space="preserve"> </w:t>
      </w:r>
      <w:r>
        <w:t xml:space="preserve">Qatar</w:t>
      </w:r>
      <w:r>
        <w:t xml:space="preserve"> </w:t>
      </w:r>
      <w:r>
        <w:t xml:space="preserve">Doha</w:t>
      </w:r>
      <w:r>
        <w:t xml:space="preserve"> </w:t>
      </w:r>
      <w:r>
        <w:t xml:space="preserve">Market</w:t>
      </w:r>
    </w:p>
    <w:bookmarkStart w:id="27" w:name="X0aff35251d71e6498d4a53fb206e59596c4c6c8"/>
    <w:p>
      <w:pPr>
        <w:pStyle w:val="Heading1"/>
      </w:pPr>
      <w:r>
        <w:t xml:space="preserve">Comprehensive Sales Performance Report: Orthodontic Services in Qatar Doha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Dental Healthcare Group Qatar</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operational and financial performance of orthodontic services across key practices in Qatar Doha for Q3 2023. The analysis confirms sustained growth in demand for specialized orthodontic care, driven by increasing health awareness, rising disposable income, and government initiatives promoting preventive dental healthcare. Orthodontist-led practices demonstrated a 14.2% year-over-year increase in total revenue within the Qatar Doha market, significantly outperforming regional averages. This report underscores the strategic importance of orthodontic services as a cornerstone of comprehensive oral health solutions in Qatar's evolving healthcare landscape.</w:t>
      </w:r>
    </w:p>
    <w:bookmarkEnd w:id="20"/>
    <w:bookmarkStart w:id="21" w:name="X611f952f9ff778af9bce482b36d93d638bef11e"/>
    <w:p>
      <w:pPr>
        <w:pStyle w:val="Heading2"/>
      </w:pPr>
      <w:r>
        <w:t xml:space="preserve">II. Qatar Doha Orthodontic Market Overview</w:t>
      </w:r>
    </w:p>
    <w:p>
      <w:pPr>
        <w:pStyle w:val="FirstParagraph"/>
      </w:pPr>
      <w:r>
        <w:t xml:space="preserve">The orthodontic sector in Qatar Doha has evolved into a high-value segment within the broader dental market. Supported by the National Health Strategy 2030, which prioritizes preventive care and specialized services, the demand for orthodontic treatments (including traditional braces, clear aligners, and surgical interventions) has surged. Key market indicators reveal:</w:t>
      </w:r>
    </w:p>
    <w:p>
      <w:pPr>
        <w:numPr>
          <w:ilvl w:val="0"/>
          <w:numId w:val="1001"/>
        </w:numPr>
        <w:pStyle w:val="Compact"/>
      </w:pPr>
      <w:r>
        <w:rPr>
          <w:bCs/>
          <w:b/>
        </w:rPr>
        <w:t xml:space="preserve">Market Expansion:</w:t>
      </w:r>
      <w:r>
        <w:t xml:space="preserve"> </w:t>
      </w:r>
      <w:r>
        <w:t xml:space="preserve">Qatar Doha's orthodontic market grew by 12.7% in 2023 (Q1-Q3), reaching an estimated QAR 48 million.</w:t>
      </w:r>
    </w:p>
    <w:p>
      <w:pPr>
        <w:numPr>
          <w:ilvl w:val="0"/>
          <w:numId w:val="1001"/>
        </w:numPr>
        <w:pStyle w:val="Compact"/>
      </w:pPr>
      <w:r>
        <w:rPr>
          <w:bCs/>
          <w:b/>
        </w:rPr>
        <w:t xml:space="preserve">Patient Demographics:</w:t>
      </w:r>
      <w:r>
        <w:t xml:space="preserve"> </w:t>
      </w:r>
      <w:r>
        <w:t xml:space="preserve">68% of patients are aged 10-25; female patients represent 57% of all consultations, reflecting strong cultural acceptance of dental aesthetics among Qatari women.</w:t>
      </w:r>
    </w:p>
    <w:p>
      <w:pPr>
        <w:numPr>
          <w:ilvl w:val="0"/>
          <w:numId w:val="1001"/>
        </w:numPr>
        <w:pStyle w:val="Compact"/>
      </w:pPr>
      <w:r>
        <w:rPr>
          <w:bCs/>
          <w:b/>
        </w:rPr>
        <w:t xml:space="preserve">Service Mix Shift:</w:t>
      </w:r>
      <w:r>
        <w:t xml:space="preserve"> </w:t>
      </w:r>
      <w:r>
        <w:t xml:space="preserve">Clear aligner therapy (e.g., Invisalign) saw a 29% increase in uptake, driven by professional and cosmetic preferences among Doha's young working population.</w:t>
      </w:r>
    </w:p>
    <w:bookmarkEnd w:id="21"/>
    <w:bookmarkStart w:id="22" w:name="X3132466242a4e8b2110e47555d3fa8939ea7c31"/>
    <w:p>
      <w:pPr>
        <w:pStyle w:val="Heading2"/>
      </w:pPr>
      <w:r>
        <w:t xml:space="preserve">III. Orthodontist Practice Performance Metrics</w:t>
      </w:r>
    </w:p>
    <w:p>
      <w:pPr>
        <w:pStyle w:val="FirstParagraph"/>
      </w:pPr>
      <w:r>
        <w:t xml:space="preserve">This section analyzes key performance indicators for orthodontic practices operating within Qatar Doha:</w:t>
      </w:r>
    </w:p>
    <w:p>
      <w:pPr>
        <w:pStyle w:val="BodyText"/>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Patient Visits (Doha)</w:t>
      </w:r>
    </w:p>
    <w:p>
      <w:pPr>
        <w:pStyle w:val="BodyText"/>
      </w:pPr>
      <w:r>
        <w:t xml:space="preserve">8,450</w:t>
      </w:r>
    </w:p>
    <w:p>
      <w:pPr>
        <w:pStyle w:val="BodyText"/>
      </w:pPr>
      <w:r>
        <w:t xml:space="preserve">7,315</w:t>
      </w:r>
    </w:p>
    <w:p>
      <w:pPr>
        <w:pStyle w:val="BodyText"/>
      </w:pPr>
      <w:r>
        <w:t xml:space="preserve">+15.5%</w:t>
      </w:r>
    </w:p>
    <w:p>
      <w:pPr>
        <w:pStyle w:val="BodyText"/>
      </w:pPr>
      <w:r>
        <w:t xml:space="preserve">Avg. Case Volume per Orthodontist</w:t>
      </w:r>
    </w:p>
    <w:p>
      <w:pPr>
        <w:pStyle w:val="BodyText"/>
      </w:pPr>
      <w:r>
        <w:t xml:space="preserve">262/month</w:t>
      </w:r>
    </w:p>
    <w:p>
      <w:pPr>
        <w:pStyle w:val="BodyText"/>
      </w:pPr>
      <w:r>
        <w:t xml:space="preserve">&lt; td&gt;230/month</w:t>
      </w:r>
    </w:p>
    <w:p>
      <w:pPr>
        <w:pStyle w:val="BodyText"/>
      </w:pPr>
      <w:r>
        <w:t xml:space="preserve">Total Revenue (QAR)</w:t>
      </w:r>
    </w:p>
    <w:p>
      <w:pPr>
        <w:pStyle w:val="BodyText"/>
      </w:pPr>
      <w:r>
        <w:t xml:space="preserve">4,187,500</w:t>
      </w:r>
    </w:p>
    <w:p>
      <w:pPr>
        <w:pStyle w:val="BodyText"/>
      </w:pPr>
      <w:r>
        <w:t xml:space="preserve">&lt; td&gt;3,665,800</w:t>
      </w:r>
    </w:p>
    <w:p>
      <w:pPr>
        <w:pStyle w:val="BodyText"/>
      </w:pPr>
      <w:r>
        <w:t xml:space="preserve">Patient Retention Rate (6+ mos)</w:t>
      </w:r>
    </w:p>
    <w:p>
      <w:pPr>
        <w:pStyle w:val="BodyText"/>
      </w:pPr>
      <w:r>
        <w:t xml:space="preserve">79% &lt; td&gt;72%</w:t>
      </w:r>
    </w:p>
    <w:p>
      <w:pPr>
        <w:pStyle w:val="BodyText"/>
      </w:pPr>
      <w:r>
        <w:t xml:space="preserve">New Patient Acquisition Cost</w:t>
      </w:r>
    </w:p>
    <w:p>
      <w:pPr>
        <w:pStyle w:val="BodyText"/>
      </w:pPr>
      <w:r>
        <w:t xml:space="preserve">QAR 185</w:t>
      </w:r>
    </w:p>
    <w:p>
      <w:pPr>
        <w:pStyle w:val="BodyText"/>
      </w:pPr>
      <w:r>
        <w:t xml:space="preserve">&lt; td&gt;QAR 210</w:t>
      </w:r>
    </w:p>
    <w:p>
      <w:pPr>
        <w:pStyle w:val="BodyText"/>
      </w:pPr>
      <w:r>
        <w:t xml:space="preserve">The data confirms that orthodontist practices in Qatar Doha are achieving exceptional performance, particularly in patient retention and revenue per practitioner. The decline in new patient acquisition costs (due to effective digital marketing campaigns via local platforms like "Qatar Living" and targeted social media) has significantly boosted profitability margins.</w:t>
      </w:r>
    </w:p>
    <w:bookmarkEnd w:id="22"/>
    <w:bookmarkStart w:id="23" w:name="iv.-key-drivers-of-success-in-qatar-doha"/>
    <w:p>
      <w:pPr>
        <w:pStyle w:val="Heading2"/>
      </w:pPr>
      <w:r>
        <w:t xml:space="preserve">IV. Key Drivers of Success in Qatar Doha</w:t>
      </w:r>
    </w:p>
    <w:p>
      <w:pPr>
        <w:pStyle w:val="FirstParagraph"/>
      </w:pPr>
      <w:r>
        <w:t xml:space="preserve">Several factors uniquely contribute to the strong sales performance of orthodontic services in this market:</w:t>
      </w:r>
    </w:p>
    <w:p>
      <w:pPr>
        <w:numPr>
          <w:ilvl w:val="0"/>
          <w:numId w:val="1002"/>
        </w:numPr>
        <w:pStyle w:val="Compact"/>
      </w:pPr>
      <w:r>
        <w:rPr>
          <w:bCs/>
          <w:b/>
        </w:rPr>
        <w:t xml:space="preserve">Cultural Alignment &amp; Patient Trust:</w:t>
      </w:r>
      <w:r>
        <w:t xml:space="preserve"> </w:t>
      </w:r>
      <w:r>
        <w:t xml:space="preserve">Orthodontists in Qatar Doha have successfully integrated cultural sensitivity into practice protocols, including private treatment rooms and female practitioners for female patients – a critical factor for high patient satisfaction (92% positive feedback on comfort levels).</w:t>
      </w:r>
    </w:p>
    <w:p>
      <w:pPr>
        <w:numPr>
          <w:ilvl w:val="0"/>
          <w:numId w:val="1002"/>
        </w:numPr>
        <w:pStyle w:val="Compact"/>
      </w:pPr>
      <w:r>
        <w:rPr>
          <w:bCs/>
          <w:b/>
        </w:rPr>
        <w:t xml:space="preserve">Government Partnerships:</w:t>
      </w:r>
      <w:r>
        <w:t xml:space="preserve"> </w:t>
      </w:r>
      <w:r>
        <w:t xml:space="preserve">Collaborations with Hamad Medical Corporation (HMC) and Sidra Medicine have expanded access to orthodontic services through corporate wellness programs, driving referrals and increasing practice volume.</w:t>
      </w:r>
    </w:p>
    <w:p>
      <w:pPr>
        <w:numPr>
          <w:ilvl w:val="0"/>
          <w:numId w:val="1002"/>
        </w:numPr>
        <w:pStyle w:val="Compact"/>
      </w:pPr>
      <w:r>
        <w:rPr>
          <w:bCs/>
          <w:b/>
        </w:rPr>
        <w:t xml:space="preserve">Digital Transformation:</w:t>
      </w:r>
      <w:r>
        <w:t xml:space="preserve"> </w:t>
      </w:r>
      <w:r>
        <w:t xml:space="preserve">Adoption of AI-powered smile simulation tools (e.g., Dentrix, Cerec) in Doha-based practices has improved patient decision-making, reducing consultation-to-treatment conversion time by 35%.</w:t>
      </w:r>
    </w:p>
    <w:p>
      <w:pPr>
        <w:numPr>
          <w:ilvl w:val="0"/>
          <w:numId w:val="1002"/>
        </w:numPr>
        <w:pStyle w:val="Compact"/>
      </w:pPr>
      <w:r>
        <w:rPr>
          <w:bCs/>
          <w:b/>
        </w:rPr>
        <w:t xml:space="preserve">Dental Tourism Advantage:</w:t>
      </w:r>
      <w:r>
        <w:t xml:space="preserve"> </w:t>
      </w:r>
      <w:r>
        <w:t xml:space="preserve">Qatar's status as a regional hub attracts medical tourists from neighboring GCC countries. Orthodontists specializing in complex cases (e.g., cleft palate correction) reported 22% of new patients coming from Saudi Arabia, UAE, and Kuwait.</w:t>
      </w:r>
    </w:p>
    <w:bookmarkEnd w:id="23"/>
    <w:bookmarkStart w:id="24" w:name="v.-challenges-strategic-opportunities"/>
    <w:p>
      <w:pPr>
        <w:pStyle w:val="Heading2"/>
      </w:pPr>
      <w:r>
        <w:t xml:space="preserve">V. Challenges &amp; Strategic Opportunities</w:t>
      </w:r>
    </w:p>
    <w:p>
      <w:pPr>
        <w:pStyle w:val="FirstParagraph"/>
      </w:pPr>
      <w:r>
        <w:t xml:space="preserve">While the market is robust, key challenges require attention to sustain growth:</w:t>
      </w:r>
    </w:p>
    <w:p>
      <w:pPr>
        <w:numPr>
          <w:ilvl w:val="0"/>
          <w:numId w:val="1003"/>
        </w:numPr>
        <w:pStyle w:val="Compact"/>
      </w:pPr>
      <w:r>
        <w:rPr>
          <w:bCs/>
          <w:b/>
        </w:rPr>
        <w:t xml:space="preserve">Workforce Shortage:</w:t>
      </w:r>
      <w:r>
        <w:t xml:space="preserve"> </w:t>
      </w:r>
      <w:r>
        <w:t xml:space="preserve">Qatar Doha faces a 15% deficit in qualified orthodontists compared to demand, necessitating accelerated recruitment from UK and Indian dental institutions.</w:t>
      </w:r>
    </w:p>
    <w:p>
      <w:pPr>
        <w:numPr>
          <w:ilvl w:val="0"/>
          <w:numId w:val="1003"/>
        </w:numPr>
        <w:pStyle w:val="Compact"/>
      </w:pPr>
      <w:r>
        <w:rPr>
          <w:bCs/>
          <w:b/>
        </w:rPr>
        <w:t xml:space="preserve">Pricing Pressure:</w:t>
      </w:r>
      <w:r>
        <w:t xml:space="preserve"> </w:t>
      </w:r>
      <w:r>
        <w:t xml:space="preserve">Competition from low-cost clinics in neighboring countries is impacting pricing for basic services; orthodontists must emphasize premium value (e.g., digital planning, extended warranties) to maintain margins.</w:t>
      </w:r>
    </w:p>
    <w:p>
      <w:pPr>
        <w:numPr>
          <w:ilvl w:val="0"/>
          <w:numId w:val="1003"/>
        </w:numPr>
        <w:pStyle w:val="Compact"/>
      </w:pPr>
      <w:r>
        <w:rPr>
          <w:bCs/>
          <w:b/>
        </w:rPr>
        <w:t xml:space="preserve">Insurance Coverage Gaps:</w:t>
      </w:r>
      <w:r>
        <w:t xml:space="preserve"> </w:t>
      </w:r>
      <w:r>
        <w:t xml:space="preserve">Only 40% of Doha residents have insurance covering orthodontics. Strategic partnerships with insurers like Al Jazeera Medical Insurance could unlock significant untapped revenue.</w:t>
      </w:r>
    </w:p>
    <w:bookmarkEnd w:id="24"/>
    <w:bookmarkStart w:id="25" w:name="X43ba4274860cce0c00465b47e58fa1c2750d766"/>
    <w:p>
      <w:pPr>
        <w:pStyle w:val="Heading2"/>
      </w:pPr>
      <w:r>
        <w:t xml:space="preserve">VI. Recommendations for Enhanced Sales Performance</w:t>
      </w:r>
    </w:p>
    <w:p>
      <w:pPr>
        <w:pStyle w:val="FirstParagraph"/>
      </w:pPr>
      <w:r>
        <w:t xml:space="preserve">To capitalize on the Qatar Doha orthodontic market's potential, we recommend:</w:t>
      </w:r>
    </w:p>
    <w:p>
      <w:pPr>
        <w:numPr>
          <w:ilvl w:val="0"/>
          <w:numId w:val="1004"/>
        </w:numPr>
        <w:pStyle w:val="Compact"/>
      </w:pPr>
      <w:r>
        <w:rPr>
          <w:bCs/>
          <w:b/>
        </w:rPr>
        <w:t xml:space="preserve">Expand Clear Aligner Focus:</w:t>
      </w:r>
      <w:r>
        <w:t xml:space="preserve"> </w:t>
      </w:r>
      <w:r>
        <w:t xml:space="preserve">Allocate 30% of new marketing budget to promote clear aligners, targeting Doha's corporate sector through employee wellness programs.</w:t>
      </w:r>
    </w:p>
    <w:p>
      <w:pPr>
        <w:numPr>
          <w:ilvl w:val="0"/>
          <w:numId w:val="1004"/>
        </w:numPr>
        <w:pStyle w:val="Compact"/>
      </w:pPr>
      <w:r>
        <w:rPr>
          <w:bCs/>
          <w:b/>
        </w:rPr>
        <w:t xml:space="preserve">Leverage Qatar National Day Campaigns:</w:t>
      </w:r>
      <w:r>
        <w:t xml:space="preserve"> </w:t>
      </w:r>
      <w:r>
        <w:t xml:space="preserve">Develop a "Healthy Smiles for the Nation" initiative with local schools and community centers in Qatari neighborhoods (e.g., Al Sadd, Umm Salal) to drive early intervention cases.</w:t>
      </w:r>
    </w:p>
    <w:p>
      <w:pPr>
        <w:numPr>
          <w:ilvl w:val="0"/>
          <w:numId w:val="1004"/>
        </w:numPr>
        <w:pStyle w:val="Compact"/>
      </w:pPr>
      <w:r>
        <w:rPr>
          <w:bCs/>
          <w:b/>
        </w:rPr>
        <w:t xml:space="preserve">Invest in Multilingual Teams:</w:t>
      </w:r>
      <w:r>
        <w:t xml:space="preserve"> </w:t>
      </w:r>
      <w:r>
        <w:t xml:space="preserve">Hire Arabic-English-French speaking orthodontists and staff to serve Qatar's diverse expatriate population (65% of Doha's residents), directly increasing patient acquisition channels.</w:t>
      </w:r>
    </w:p>
    <w:p>
      <w:pPr>
        <w:numPr>
          <w:ilvl w:val="0"/>
          <w:numId w:val="1004"/>
        </w:numPr>
        <w:pStyle w:val="Compact"/>
      </w:pPr>
      <w:r>
        <w:rPr>
          <w:bCs/>
          <w:b/>
        </w:rPr>
        <w:t xml:space="preserve">Pursue HMC Collaboration Expansion:</w:t>
      </w:r>
      <w:r>
        <w:t xml:space="preserve"> </w:t>
      </w:r>
      <w:r>
        <w:t xml:space="preserve">Formalize agreements for orthodontic screening at HMC primary care clinics to capture patients early in the treatment journey.</w:t>
      </w:r>
    </w:p>
    <w:bookmarkEnd w:id="25"/>
    <w:bookmarkStart w:id="26" w:name="vii.-conclusion"/>
    <w:p>
      <w:pPr>
        <w:pStyle w:val="Heading2"/>
      </w:pPr>
      <w:r>
        <w:t xml:space="preserve">VII. Conclusion</w:t>
      </w:r>
    </w:p>
    <w:p>
      <w:pPr>
        <w:pStyle w:val="FirstParagraph"/>
      </w:pPr>
      <w:r>
        <w:t xml:space="preserve">The Qatar Doha orthodontic market demonstrates compelling growth potential, with Orthodontist-led practices delivering exceptional sales performance driven by cultural relevance, strategic partnerships, and technological adoption. This Sales Report confirms that orthodontic services are not merely a niche specialty but a vital revenue driver for comprehensive dental healthcare providers in Qatar. To maintain this momentum, practices must deepen their integration into Qatar's national health ecosystem while continuing to innovate in patient experience and service delivery. The future of orthodontic care in Doha is exceptionally bright, with clear pathways to capture 25%+ market share by 2025 through targeted strategic investment.</w:t>
      </w:r>
    </w:p>
    <w:p>
      <w:pPr>
        <w:pStyle w:val="BodyText"/>
      </w:pPr>
      <w:r>
        <w:rPr>
          <w:bCs/>
          <w:b/>
        </w:rPr>
        <w:t xml:space="preserve">Prepared By:</w:t>
      </w:r>
      <w:r>
        <w:t xml:space="preserve"> </w:t>
      </w:r>
      <w:r>
        <w:t xml:space="preserve">Global Dental Strategy Team, Qatar Division</w:t>
      </w:r>
      <w:r>
        <w:br/>
      </w:r>
      <w:r>
        <w:rPr>
          <w:bCs/>
          <w:b/>
        </w:rPr>
        <w:t xml:space="preserve">Confidentiality:</w:t>
      </w:r>
      <w:r>
        <w:t xml:space="preserve"> </w:t>
      </w:r>
      <w:r>
        <w:t xml:space="preserve">This report contains proprietary business intelligence for internal use only within Dental Healthcare Group Qatar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Practice Performance Report: Qatar Doha Market</dc:title>
  <dc:creator/>
  <dc:language>en</dc:language>
  <cp:keywords/>
  <dcterms:created xsi:type="dcterms:W3CDTF">2026-07-23T17:12:46Z</dcterms:created>
  <dcterms:modified xsi:type="dcterms:W3CDTF">2026-07-23T17:12:46Z</dcterms:modified>
</cp:coreProperties>
</file>

<file path=docProps/custom.xml><?xml version="1.0" encoding="utf-8"?>
<Properties xmlns="http://schemas.openxmlformats.org/officeDocument/2006/custom-properties" xmlns:vt="http://schemas.openxmlformats.org/officeDocument/2006/docPropsVTypes"/>
</file>