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Moscow</w:t>
      </w:r>
      <w:r>
        <w:t xml:space="preserve"> </w:t>
      </w:r>
      <w:r>
        <w:t xml:space="preserve">Market</w:t>
      </w:r>
      <w:r>
        <w:t xml:space="preserve"> </w:t>
      </w:r>
      <w:r>
        <w:t xml:space="preserve">Performance</w:t>
      </w:r>
    </w:p>
    <w:bookmarkStart w:id="29" w:name="Xd928166d637c61e67cac995a6536c083c32df49"/>
    <w:p>
      <w:pPr>
        <w:pStyle w:val="Heading1"/>
      </w:pPr>
      <w:r>
        <w:t xml:space="preserve">ORTHODONTIC SALES REPORT: MOSCOW MARKET PERFORMANCE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Moscow Dental Group</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orthodontic division across all clinics in Russia Moscow during Q3 2023. Despite regional economic headwinds and evolving patient expectations, our Orthodontist practice achieved a remarkable 18.7% year-over-year growth in treatment initiations, exceeding all internal targets. This success positions us as the leading orthodontic provider in the Moscow metropolitan area with a 34% market share among premium clinics. The report analyzes key drivers of this performance, identifies emerging opportunities within Russia's dental landscape, and outlines strategic priorities for Q4 2023.</w:t>
      </w:r>
    </w:p>
    <w:bookmarkEnd w:id="20"/>
    <w:bookmarkStart w:id="21" w:name="X608873025734f19748b05850fd636b68340154a"/>
    <w:p>
      <w:pPr>
        <w:pStyle w:val="Heading2"/>
      </w:pPr>
      <w:r>
        <w:t xml:space="preserve">II. Market Context: Orthodontics in Russia Moscow</w:t>
      </w:r>
    </w:p>
    <w:p>
      <w:pPr>
        <w:pStyle w:val="FirstParagraph"/>
      </w:pPr>
      <w:r>
        <w:t xml:space="preserve">The Russian orthodontic market continues to experience robust growth, driven by rising middle-class disposable income and increasing health awareness among Moscow residents. With the capital accounting for 45% of Russia's dental tourism market, our strategic focus on Moscow has proven exceptionally effective. Recent data from the Russian Dental Association indicates a 12% annual increase in orthodontic consultations across all major cities, but Moscow demonstrates double-digit growth due to its higher concentration of affluent families seeking aesthetic and functional dental solutions. Notably, clear aligner therapy demand in Russia Moscow has surged by 47% YoY, reflecting a significant shift from traditional braces.</w:t>
      </w:r>
    </w:p>
    <w:bookmarkEnd w:id="21"/>
    <w:bookmarkStart w:id="24" w:name="iii.-sales-performance-analysis"/>
    <w:p>
      <w:pPr>
        <w:pStyle w:val="Heading2"/>
      </w:pPr>
      <w:r>
        <w:t xml:space="preserve">III. Sales Performance Analysis</w:t>
      </w:r>
    </w:p>
    <w:bookmarkStart w:id="22" w:name="a.-key-metrics-q3-2023-vs-q3-2022"/>
    <w:p>
      <w:pPr>
        <w:pStyle w:val="Heading3"/>
      </w:pPr>
      <w:r>
        <w:t xml:space="preserve">A. Key Metrics (Q3 2023 vs Q3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Treatment Initiations (New Cases)</w:t>
            </w:r>
          </w:p>
        </w:tc>
        <w:tc>
          <w:tcPr/>
          <w:p>
            <w:pPr>
              <w:pStyle w:val="Compact"/>
              <w:jc w:val="left"/>
            </w:pPr>
            <w:r>
              <w:t xml:space="preserve">1,847</w:t>
            </w:r>
          </w:p>
        </w:tc>
        <w:tc>
          <w:tcPr/>
          <w:p>
            <w:pPr>
              <w:pStyle w:val="Compact"/>
              <w:jc w:val="left"/>
            </w:pPr>
            <w:r>
              <w:t xml:space="preserve">1,556</w:t>
            </w:r>
          </w:p>
        </w:tc>
        <w:tc>
          <w:tcPr/>
          <w:p>
            <w:pPr>
              <w:pStyle w:val="Compact"/>
              <w:jc w:val="left"/>
            </w:pPr>
            <w:r>
              <w:t xml:space="preserve">+18.7%</w:t>
            </w:r>
          </w:p>
        </w:tc>
      </w:tr>
      <w:tr>
        <w:tc>
          <w:tcPr/>
          <w:p>
            <w:pPr>
              <w:pStyle w:val="Compact"/>
              <w:jc w:val="left"/>
            </w:pPr>
            <w:r>
              <w:t xml:space="preserve">Average Revenue Per Patient (ARPP)</w:t>
            </w:r>
          </w:p>
        </w:tc>
        <w:tc>
          <w:tcPr/>
          <w:p>
            <w:pPr>
              <w:pStyle w:val="Compact"/>
              <w:jc w:val="left"/>
            </w:pPr>
            <w:r>
              <w:t xml:space="preserve">RUB 248,000</w:t>
            </w:r>
          </w:p>
        </w:tc>
        <w:tc>
          <w:tcPr/>
          <w:p>
            <w:pPr>
              <w:pStyle w:val="Compact"/>
              <w:jc w:val="left"/>
            </w:pPr>
            <w:r>
              <w:t xml:space="preserve">RUB 232,500</w:t>
            </w:r>
          </w:p>
        </w:tc>
        <w:tc>
          <w:tcPr/>
          <w:p>
            <w:pPr>
              <w:pStyle w:val="Compact"/>
              <w:jc w:val="left"/>
            </w:pPr>
            <w:r>
              <w:t xml:space="preserve">+6.7%</w:t>
            </w:r>
          </w:p>
        </w:tc>
      </w:tr>
      <w:tr>
        <w:tc>
          <w:tcPr/>
          <w:p>
            <w:pPr>
              <w:pStyle w:val="Compact"/>
              <w:jc w:val="left"/>
            </w:pPr>
            <w:r>
              <w:t xml:space="preserve">Clear Aligner Therapy Adoption Rate</w:t>
            </w:r>
          </w:p>
        </w:tc>
        <w:tc>
          <w:tcPr/>
          <w:p>
            <w:pPr>
              <w:pStyle w:val="Compact"/>
              <w:jc w:val="left"/>
            </w:pPr>
            <w:r>
              <w:t xml:space="preserve">68%</w:t>
            </w:r>
          </w:p>
        </w:tc>
        <w:tc>
          <w:tcPr/>
          <w:p>
            <w:pPr>
              <w:pStyle w:val="Compact"/>
              <w:jc w:val="left"/>
            </w:pPr>
            <w:r>
              <w:t xml:space="preserve">51%</w:t>
            </w:r>
          </w:p>
        </w:tc>
        <w:tc>
          <w:tcPr/>
          <w:p>
            <w:pPr>
              <w:pStyle w:val="Compact"/>
              <w:jc w:val="left"/>
            </w:pPr>
            <w:r>
              <w:t xml:space="preserve">+17pts</w:t>
            </w:r>
          </w:p>
        </w:tc>
      </w:tr>
      <w:tr>
        <w:tc>
          <w:tcPr/>
          <w:p>
            <w:pPr>
              <w:pStyle w:val="Compact"/>
              <w:jc w:val="left"/>
            </w:pPr>
            <w:r>
              <w:t xml:space="preserve">Patient Retention (3+ Years)</w:t>
            </w:r>
          </w:p>
        </w:tc>
        <w:tc>
          <w:tcPr/>
          <w:p>
            <w:pPr>
              <w:pStyle w:val="Compact"/>
              <w:jc w:val="left"/>
            </w:pPr>
            <w:r>
              <w:t xml:space="preserve">72.4%</w:t>
            </w:r>
          </w:p>
        </w:tc>
        <w:tc>
          <w:tcPr/>
          <w:p>
            <w:pPr>
              <w:pStyle w:val="Compact"/>
              <w:jc w:val="left"/>
            </w:pPr>
            <w:r>
              <w:t xml:space="preserve">69.1%</w:t>
            </w:r>
          </w:p>
        </w:tc>
        <w:tc>
          <w:tcPr/>
          <w:p>
            <w:pPr>
              <w:pStyle w:val="Compact"/>
              <w:jc w:val="left"/>
            </w:pPr>
            <w:r>
              <w:t xml:space="preserve">+3.3pts</w:t>
            </w:r>
          </w:p>
        </w:tc>
      </w:tr>
    </w:tbl>
    <w:bookmarkEnd w:id="22"/>
    <w:bookmarkStart w:id="23" w:name="Xda29db4291a04a9db735cb1e399dd79d144eb2a"/>
    <w:p>
      <w:pPr>
        <w:pStyle w:val="Heading3"/>
      </w:pPr>
      <w:r>
        <w:t xml:space="preserve">B. Geographic Performance in Russia Moscow</w:t>
      </w:r>
    </w:p>
    <w:p>
      <w:pPr>
        <w:pStyle w:val="FirstParagraph"/>
      </w:pPr>
      <w:r>
        <w:t xml:space="preserve">All eight clinics across Moscow's administrative districts contributed to growth, but three clusters delivered exceptional results:</w:t>
      </w:r>
    </w:p>
    <w:p>
      <w:pPr>
        <w:numPr>
          <w:ilvl w:val="0"/>
          <w:numId w:val="1001"/>
        </w:numPr>
        <w:pStyle w:val="Compact"/>
      </w:pPr>
      <w:r>
        <w:rPr>
          <w:bCs/>
          <w:b/>
        </w:rPr>
        <w:t xml:space="preserve">Central District (Tverskoy, Krasnoselsky):</w:t>
      </w:r>
      <w:r>
        <w:t xml:space="preserve"> </w:t>
      </w:r>
      <w:r>
        <w:t xml:space="preserve">29% growth driven by high-demand clear aligner services in business districts</w:t>
      </w:r>
    </w:p>
    <w:p>
      <w:pPr>
        <w:numPr>
          <w:ilvl w:val="0"/>
          <w:numId w:val="1001"/>
        </w:numPr>
        <w:pStyle w:val="Compact"/>
      </w:pPr>
      <w:r>
        <w:rPr>
          <w:bCs/>
          <w:b/>
        </w:rPr>
        <w:t xml:space="preserve">North-Western Districts (Khoroshyovskoye, Novogireyevo):</w:t>
      </w:r>
      <w:r>
        <w:t xml:space="preserve"> </w:t>
      </w:r>
      <w:r>
        <w:t xml:space="preserve">22% growth targeting young professionals with flexible payment plans</w:t>
      </w:r>
    </w:p>
    <w:p>
      <w:pPr>
        <w:numPr>
          <w:ilvl w:val="0"/>
          <w:numId w:val="1001"/>
        </w:numPr>
        <w:pStyle w:val="Compact"/>
      </w:pPr>
      <w:r>
        <w:rPr>
          <w:bCs/>
          <w:b/>
        </w:rPr>
        <w:t xml:space="preserve">Eastern Moscow (Lefortovo, Yuzhnoportovoye):</w:t>
      </w:r>
      <w:r>
        <w:t xml:space="preserve"> </w:t>
      </w:r>
      <w:r>
        <w:t xml:space="preserve">19% growth through community health partnerships in suburban areas</w:t>
      </w:r>
    </w:p>
    <w:bookmarkEnd w:id="23"/>
    <w:bookmarkEnd w:id="24"/>
    <w:bookmarkStart w:id="25" w:name="X1628078947e033c2079bb32754d305f4ca6eaa9"/>
    <w:p>
      <w:pPr>
        <w:pStyle w:val="Heading2"/>
      </w:pPr>
      <w:r>
        <w:t xml:space="preserve">IV. Strategic Success Factors Driving Our Orthodontist Sales Growth</w:t>
      </w:r>
    </w:p>
    <w:p>
      <w:pPr>
        <w:pStyle w:val="FirstParagraph"/>
      </w:pPr>
      <w:r>
        <w:rPr>
          <w:bCs/>
          <w:b/>
        </w:rPr>
        <w:t xml:space="preserve">1. Premium Service Positioning:</w:t>
      </w:r>
      <w:r>
        <w:t xml:space="preserve"> </w:t>
      </w:r>
      <w:r>
        <w:t xml:space="preserve">We successfully repositioned our Moscow orthodontist practice as the premier destination for aesthetic orthodontics, emphasizing German-made brackets and Invisalign-certified specialists. This strategy attracted high-value patients from the wealthiest districts (Arbat, Mokhovaya Street), increasing ARPP by 6.7%.</w:t>
      </w:r>
    </w:p>
    <w:p>
      <w:pPr>
        <w:pStyle w:val="BodyText"/>
      </w:pPr>
      <w:r>
        <w:rPr>
          <w:bCs/>
          <w:b/>
        </w:rPr>
        <w:t xml:space="preserve">2. Digital Patient Acquisition:</w:t>
      </w:r>
      <w:r>
        <w:t xml:space="preserve"> </w:t>
      </w:r>
      <w:r>
        <w:t xml:space="preserve">Our targeted social media campaigns on VKontakte and Telegram generated 58% of new consultations in Moscow, with video testimonials from satisfied patients in the Lefortovo district driving a 33% conversion rate increase. We implemented AI chatbots for instant Russian-language inquiry response, reducing lead time by 72 hours.</w:t>
      </w:r>
    </w:p>
    <w:p>
      <w:pPr>
        <w:pStyle w:val="BodyText"/>
      </w:pPr>
      <w:r>
        <w:rPr>
          <w:bCs/>
          <w:b/>
        </w:rPr>
        <w:t xml:space="preserve">3. Economic Adaptation:</w:t>
      </w:r>
      <w:r>
        <w:t xml:space="preserve"> </w:t>
      </w:r>
      <w:r>
        <w:t xml:space="preserve">Recognizing Russia's economic climate, we introduced tiered payment plans (4-12 month installments) and partnered with local banks for "dental credit" solutions. This accommodated 68% of new patients who previously delayed treatment due to cost concerns – a critical factor in sustaining growth during inflationary periods.</w:t>
      </w:r>
    </w:p>
    <w:bookmarkEnd w:id="25"/>
    <w:bookmarkStart w:id="26" w:name="X7905550cd8fb27676d928d64186429b4574762f"/>
    <w:p>
      <w:pPr>
        <w:pStyle w:val="Heading2"/>
      </w:pPr>
      <w:r>
        <w:t xml:space="preserve">V. Market Challenges &amp; Mitigation Strategies</w:t>
      </w:r>
    </w:p>
    <w:p>
      <w:pPr>
        <w:pStyle w:val="FirstParagraph"/>
      </w:pPr>
      <w:r>
        <w:t xml:space="preserve">Despite strong results, we face two primary challenges unique to Russia Moscow:</w:t>
      </w:r>
    </w:p>
    <w:p>
      <w:pPr>
        <w:numPr>
          <w:ilvl w:val="0"/>
          <w:numId w:val="1002"/>
        </w:numPr>
        <w:pStyle w:val="Compact"/>
      </w:pPr>
      <w:r>
        <w:rPr>
          <w:bCs/>
          <w:b/>
        </w:rPr>
        <w:t xml:space="preserve">Regulatory Complexity:</w:t>
      </w:r>
      <w:r>
        <w:t xml:space="preserve"> </w:t>
      </w:r>
      <w:r>
        <w:t xml:space="preserve">Russia's evolving dental import regulations for orthodontic materials caused temporary supply chain disruptions in Q2. We mitigated this by establishing dual sourcing from Germany and domestic manufacturers (Moscow-based DentalTech), ensuring 99.8% product availability.</w:t>
      </w:r>
    </w:p>
    <w:p>
      <w:pPr>
        <w:numPr>
          <w:ilvl w:val="0"/>
          <w:numId w:val="1002"/>
        </w:numPr>
        <w:pStyle w:val="Compact"/>
      </w:pPr>
      <w:r>
        <w:rPr>
          <w:bCs/>
          <w:b/>
        </w:rPr>
        <w:t xml:space="preserve">Competitor Price Wars:</w:t>
      </w:r>
      <w:r>
        <w:t xml:space="preserve"> </w:t>
      </w:r>
      <w:r>
        <w:t xml:space="preserve">Competing clinics in Moscow's Central District reduced prices by 15-20% to attract budget-conscious patients. Our counter-strategy focused on value-based pricing: highlighting superior outcomes (32% fewer follow-up visits) and personalized care through our dedicated Orthodontist coordinators.</w:t>
      </w:r>
    </w:p>
    <w:bookmarkEnd w:id="26"/>
    <w:bookmarkStart w:id="27" w:name="vi.-future-outlook-q4-2023-beyond"/>
    <w:p>
      <w:pPr>
        <w:pStyle w:val="Heading2"/>
      </w:pPr>
      <w:r>
        <w:t xml:space="preserve">VI. Future Outlook: Q4 2023 &amp; Beyond</w:t>
      </w:r>
    </w:p>
    <w:p>
      <w:pPr>
        <w:pStyle w:val="FirstParagraph"/>
      </w:pPr>
      <w:r>
        <w:t xml:space="preserve">We project sustained growth in Russia Moscow based on three strategic initiatives:</w:t>
      </w:r>
    </w:p>
    <w:p>
      <w:pPr>
        <w:numPr>
          <w:ilvl w:val="0"/>
          <w:numId w:val="1003"/>
        </w:numPr>
        <w:pStyle w:val="Compact"/>
      </w:pPr>
      <w:r>
        <w:rPr>
          <w:bCs/>
          <w:b/>
        </w:rPr>
        <w:t xml:space="preserve">Expansion of Digital Orthodontics:</w:t>
      </w:r>
      <w:r>
        <w:t xml:space="preserve"> </w:t>
      </w:r>
      <w:r>
        <w:t xml:space="preserve">Launching AI-driven treatment planning software in all Moscow clinics by November 2023, reducing initial consultation time by 40% and increasing case acceptance rates.</w:t>
      </w:r>
    </w:p>
    <w:p>
      <w:pPr>
        <w:numPr>
          <w:ilvl w:val="0"/>
          <w:numId w:val="1003"/>
        </w:numPr>
        <w:pStyle w:val="Compact"/>
      </w:pPr>
      <w:r>
        <w:rPr>
          <w:bCs/>
          <w:b/>
        </w:rPr>
        <w:t xml:space="preserve">Targeted Community Engagement:</w:t>
      </w:r>
      <w:r>
        <w:t xml:space="preserve"> </w:t>
      </w:r>
      <w:r>
        <w:t xml:space="preserve">Partnering with 15 Moscow schools (including international institutions in Zamoskvorechye) for free orthodontic screenings – anticipated to generate 300+ new patient leads monthly.</w:t>
      </w:r>
    </w:p>
    <w:p>
      <w:pPr>
        <w:numPr>
          <w:ilvl w:val="0"/>
          <w:numId w:val="1003"/>
        </w:numPr>
        <w:pStyle w:val="Compact"/>
      </w:pPr>
      <w:r>
        <w:rPr>
          <w:bCs/>
          <w:b/>
        </w:rPr>
        <w:t xml:space="preserve">Premium Service Diversification:</w:t>
      </w:r>
      <w:r>
        <w:t xml:space="preserve"> </w:t>
      </w:r>
      <w:r>
        <w:t xml:space="preserve">Introducing "Orthodontist Concierge Service" for Moscow's top 1% clients, including private clinic access and airport pickup services, targeting a new revenue stream of RUB 8.2M monthly by Q2 2024.</w:t>
      </w:r>
    </w:p>
    <w:bookmarkEnd w:id="27"/>
    <w:bookmarkStart w:id="28" w:name="vii.-conclusion"/>
    <w:p>
      <w:pPr>
        <w:pStyle w:val="Heading2"/>
      </w:pPr>
      <w:r>
        <w:t xml:space="preserve">VII. Conclusion</w:t>
      </w:r>
    </w:p>
    <w:p>
      <w:pPr>
        <w:pStyle w:val="FirstParagraph"/>
      </w:pPr>
      <w:r>
        <w:t xml:space="preserve">This Sales Report confirms that our Orthodontist practice in Russia Moscow has established itself as the market leader through strategic adaptation to local economic conditions, superior patient experience, and innovation in digital dentistry. The 18.7% growth in treatment initiations demonstrates strong consumer confidence despite broader economic challenges. Crucially, we have moved beyond competing on price alone – our focus on premium service delivery and technological advancement has built sustainable competitive advantage.</w:t>
      </w:r>
    </w:p>
    <w:p>
      <w:pPr>
        <w:pStyle w:val="BodyText"/>
      </w:pPr>
      <w:r>
        <w:t xml:space="preserve">As we enter Q4, our priority remains deepening patient loyalty within the Moscow market while strategically expanding into secondary cities (Nizhny Novgorod, Kazan) where similar growth patterns are emerging. The orthodontic landscape in Russia is poised for further transformation, and our Moscow operations will continue to serve as the blueprint for national expansion. This Sales Report underscores that strategic investment in high-value orthodontics within Russia's premier market has yielded exceptional returns and provides a clear roadmap for future success.</w:t>
      </w:r>
    </w:p>
    <w:p>
      <w:pPr>
        <w:pStyle w:val="BodyText"/>
      </w:pPr>
      <w:r>
        <w:rPr>
          <w:bCs/>
          <w:b/>
        </w:rPr>
        <w:t xml:space="preserve">Prepared by:</w:t>
      </w:r>
      <w:r>
        <w:t xml:space="preserve"> </w:t>
      </w:r>
      <w:r>
        <w:t xml:space="preserve">Elena Petrova, Director of Orthodontic Operations</w:t>
      </w:r>
      <w:r>
        <w:br/>
      </w:r>
      <w:r>
        <w:rPr>
          <w:bCs/>
          <w:b/>
        </w:rPr>
        <w:t xml:space="preserve">Contact:</w:t>
      </w:r>
      <w:r>
        <w:t xml:space="preserve"> </w:t>
      </w:r>
      <w:r>
        <w:t xml:space="preserve">elena.petrova@moscowortho.ru | +7 495 XXX-XX-XX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Moscow Market Performance</dc:title>
  <dc:creator/>
  <dc:language>en</dc:language>
  <cp:keywords/>
  <dcterms:created xsi:type="dcterms:W3CDTF">2025-12-15T21:57:21Z</dcterms:created>
  <dcterms:modified xsi:type="dcterms:W3CDTF">2025-12-15T21:57:21Z</dcterms:modified>
</cp:coreProperties>
</file>

<file path=docProps/custom.xml><?xml version="1.0" encoding="utf-8"?>
<Properties xmlns="http://schemas.openxmlformats.org/officeDocument/2006/custom-properties" xmlns:vt="http://schemas.openxmlformats.org/officeDocument/2006/docPropsVTypes"/>
</file>