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Riyadh,</w:t>
      </w:r>
      <w:r>
        <w:t xml:space="preserve"> </w:t>
      </w:r>
      <w:r>
        <w:t xml:space="preserve">Saudi</w:t>
      </w:r>
      <w:r>
        <w:t xml:space="preserve"> </w:t>
      </w:r>
      <w:r>
        <w:t xml:space="preserve">Arabia</w:t>
      </w:r>
    </w:p>
    <w:bookmarkStart w:id="29" w:name="Xf3b78c8473c19d17fc26608ac6760abd4cd6ef3"/>
    <w:p>
      <w:pPr>
        <w:pStyle w:val="Heading1"/>
      </w:pPr>
      <w:r>
        <w:t xml:space="preserve">Sales Report: Orthodontic Services Market Analysis and Performance in Riyadh,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&amp; Market Intelligence Department</w:t>
      </w:r>
    </w:p>
    <w:bookmarkStart w:id="20" w:name="i.-executive-summary"/>
    <w:p>
      <w:pPr>
        <w:pStyle w:val="Heading2"/>
      </w:pPr>
      <w:r>
        <w:t xml:space="preserve">I. Executive Summary</w:t>
      </w:r>
    </w:p>
    <w:p>
      <w:pPr>
        <w:pStyle w:val="FirstParagraph"/>
      </w:pPr>
      <w:r>
        <w:t xml:space="preserve">This comprehensive Sales Report details the performance of orthodontic services within Riyadh, Saudi Arabia during the third quarter of 2023. The report demonstrates a robust 18.7% year-over-year growth in patient acquisition and a 15.3% increase in average revenue per patient (ARPP) for our leading</w:t>
      </w:r>
      <w:r>
        <w:t xml:space="preserve"> </w:t>
      </w:r>
      <w:r>
        <w:rPr>
          <w:bCs/>
          <w:b/>
        </w:rPr>
        <w:t xml:space="preserve">Orthodontist</w:t>
      </w:r>
      <w:r>
        <w:t xml:space="preserve"> </w:t>
      </w:r>
      <w:r>
        <w:t xml:space="preserve">practice network across Riyadh's premium healthcare districts. These results reflect strategic positioning within the rapidly expanding orthodontic market of</w:t>
      </w:r>
      <w:r>
        <w:t xml:space="preserve"> </w:t>
      </w:r>
      <w:r>
        <w:rPr>
          <w:bCs/>
          <w:b/>
        </w:rPr>
        <w:t xml:space="preserve">Saudi Arabia Riyadh</w:t>
      </w:r>
      <w:r>
        <w:t xml:space="preserve">, where consumer demand for aesthetic and functional dental solutions continues to accelerate at 22% annually according to Saudi Ministry of Health statistics.</w:t>
      </w:r>
    </w:p>
    <w:bookmarkEnd w:id="20"/>
    <w:bookmarkStart w:id="21" w:name="X66093317bc4a4451098ee71e9d25721dd7d235f"/>
    <w:p>
      <w:pPr>
        <w:pStyle w:val="Heading2"/>
      </w:pPr>
      <w:r>
        <w:t xml:space="preserve">II. Market Context: Orthodontics in Riyadh, Saudi Arabia</w:t>
      </w:r>
    </w:p>
    <w:p>
      <w:pPr>
        <w:pStyle w:val="FirstParagraph"/>
      </w:pPr>
      <w:r>
        <w:t xml:space="preserve">Riyadh serves as the undisputed epicenter of orthodontic innovation in</w:t>
      </w:r>
      <w:r>
        <w:t xml:space="preserve"> </w:t>
      </w:r>
      <w:r>
        <w:rPr>
          <w:bCs/>
          <w:b/>
        </w:rPr>
        <w:t xml:space="preserve">Saudi Arabia Riyadh</w:t>
      </w:r>
      <w:r>
        <w:t xml:space="preserve">, housing 68% of the nation's certified orthodontists and driving 74% of regional market growth. The Kingdom's Vision 2030 healthcare initiative has catalyzed unprecedented investment in dental infrastructure, with Riyadh alone adding 12 new specialized orthodontic clinics in 2023. Notably, patient awareness of modern orthodontic solutions—particularly clear aligners and lingual braces—has surged by 41% following government-backed dental health campaigns. This market momentum creates a uniquely favorable environment for premium</w:t>
      </w:r>
      <w:r>
        <w:t xml:space="preserve"> </w:t>
      </w:r>
      <w:r>
        <w:rPr>
          <w:bCs/>
          <w:b/>
        </w:rPr>
        <w:t xml:space="preserve">Orthodontist</w:t>
      </w:r>
      <w:r>
        <w:t xml:space="preserve"> </w:t>
      </w:r>
      <w:r>
        <w:t xml:space="preserve">practices to expand their footprint.</w:t>
      </w:r>
    </w:p>
    <w:bookmarkEnd w:id="21"/>
    <w:bookmarkStart w:id="23" w:name="iii.-q3-2023-sales-performance-breakdown"/>
    <w:p>
      <w:pPr>
        <w:pStyle w:val="Heading2"/>
      </w:pPr>
      <w:r>
        <w:t xml:space="preserve">III. 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New Patient Acquisitions</w:t>
            </w:r>
          </w:p>
        </w:tc>
        <w:tc>
          <w:tcPr/>
          <w:p>
            <w:pPr>
              <w:pStyle w:val="Compact"/>
              <w:jc w:val="left"/>
            </w:pPr>
            <w:r>
              <w:t xml:space="preserve">487 patients</w:t>
            </w:r>
          </w:p>
        </w:tc>
        <w:tc>
          <w:tcPr/>
          <w:p>
            <w:pPr>
              <w:pStyle w:val="Compact"/>
              <w:jc w:val="left"/>
            </w:pPr>
            <w:r>
              <w:t xml:space="preserve">410 patients</w:t>
            </w:r>
          </w:p>
        </w:tc>
        <w:tc>
          <w:tcPr/>
          <w:p>
            <w:pPr>
              <w:pStyle w:val="Compact"/>
              <w:jc w:val="left"/>
            </w:pPr>
            <w:r>
              <w:t xml:space="preserve">+18.7%</w:t>
            </w:r>
          </w:p>
        </w:tc>
      </w:tr>
      <w:tr>
        <w:tc>
          <w:tcPr/>
          <w:p>
            <w:pPr>
              <w:pStyle w:val="Compact"/>
              <w:jc w:val="left"/>
            </w:pPr>
            <w:r>
              <w:t xml:space="preserve">Average Revenue Per Patient (ARPP)</w:t>
            </w:r>
          </w:p>
        </w:tc>
        <w:tc>
          <w:tcPr/>
          <w:p>
            <w:pPr>
              <w:pStyle w:val="Compact"/>
              <w:jc w:val="left"/>
            </w:pPr>
            <w:r>
              <w:t xml:space="preserve">SAR 12,850</w:t>
            </w:r>
          </w:p>
        </w:tc>
        <w:tc>
          <w:tcPr/>
          <w:p>
            <w:pPr>
              <w:pStyle w:val="Compact"/>
              <w:jc w:val="left"/>
            </w:pPr>
            <w:r>
              <w:t xml:space="preserve">SAR 11,050</w:t>
            </w:r>
          </w:p>
        </w:tc>
        <w:tc>
          <w:tcPr/>
          <w:p>
            <w:pPr>
              <w:pStyle w:val="Compact"/>
              <w:jc w:val="left"/>
            </w:pPr>
            <w:r>
              <w:t xml:space="preserve">+15.3%</w:t>
            </w:r>
          </w:p>
        </w:tc>
      </w:tr>
      <w:tr>
        <w:tc>
          <w:tcPr/>
          <w:p>
            <w:pPr>
              <w:pStyle w:val="Compact"/>
              <w:jc w:val="left"/>
            </w:pPr>
            <w:r>
              <w:t xml:space="preserve">Clear Aligner Sales Share</w:t>
            </w:r>
          </w:p>
        </w:tc>
        <w:tc>
          <w:tcPr/>
          <w:p>
            <w:pPr>
              <w:pStyle w:val="Compact"/>
              <w:jc w:val="left"/>
            </w:pPr>
            <w:r>
              <w:t xml:space="preserve">63% of total cases</w:t>
            </w:r>
          </w:p>
        </w:tc>
        <w:tc>
          <w:tcPr/>
          <w:p>
            <w:pPr>
              <w:pStyle w:val="Compact"/>
              <w:jc w:val="left"/>
            </w:pPr>
            <w:r>
              <w:t xml:space="preserve">49% of total cases</w:t>
            </w:r>
          </w:p>
        </w:tc>
        <w:tc>
          <w:tcPr/>
          <w:p>
            <w:pPr>
              <w:pStyle w:val="Compact"/>
              <w:jc w:val="left"/>
            </w:pPr>
            <w:r>
              <w:t xml:space="preserve">+14 pp</w:t>
            </w:r>
          </w:p>
        </w:tc>
      </w:tr>
      <w:tr>
        <w:tc>
          <w:tcPr/>
          <w:p>
            <w:pPr>
              <w:pStyle w:val="Compact"/>
              <w:jc w:val="left"/>
            </w:pPr>
            <w:r>
              <w:t xml:space="preserve">Premium Service Package Utilization</w:t>
            </w:r>
          </w:p>
        </w:tc>
        <w:tc>
          <w:tcPr/>
          <w:p>
            <w:pPr>
              <w:pStyle w:val="Compact"/>
              <w:jc w:val="left"/>
            </w:pPr>
            <w:r>
              <w:t xml:space="preserve">78%</w:t>
            </w:r>
          </w:p>
        </w:tc>
        <w:tc>
          <w:tcPr/>
          <w:p>
            <w:pPr>
              <w:pStyle w:val="Compact"/>
              <w:jc w:val="left"/>
            </w:pPr>
            <w:r>
              <w:t xml:space="preserve">65%</w:t>
            </w:r>
          </w:p>
        </w:tc>
        <w:tc>
          <w:tcPr/>
          <w:p>
            <w:pPr>
              <w:pStyle w:val="Compact"/>
              <w:jc w:val="left"/>
            </w:pPr>
            <w:r>
              <w:t xml:space="preserve">+13 pp</w:t>
            </w:r>
          </w:p>
        </w:tc>
      </w:tr>
    </w:tbl>
    <w:bookmarkStart w:id="22" w:name="key-growth-drivers"/>
    <w:p>
      <w:pPr>
        <w:pStyle w:val="Heading3"/>
      </w:pPr>
      <w:r>
        <w:t xml:space="preserve">Key Growth Drivers:</w:t>
      </w:r>
    </w:p>
    <w:p>
      <w:pPr>
        <w:numPr>
          <w:ilvl w:val="0"/>
          <w:numId w:val="1001"/>
        </w:numPr>
        <w:pStyle w:val="Compact"/>
      </w:pPr>
      <w:r>
        <w:rPr>
          <w:bCs/>
          <w:b/>
        </w:rPr>
        <w:t xml:space="preserve">Cultural Shift in Aesthetics:</w:t>
      </w:r>
      <w:r>
        <w:t xml:space="preserve"> </w:t>
      </w:r>
      <w:r>
        <w:t xml:space="preserve">89% of new patients cited "social confidence" as primary motivation for treatment, reflecting Riyadh's youth demographic (65% under 30) embracing orthodontics as a lifestyle investment.</w:t>
      </w:r>
    </w:p>
    <w:p>
      <w:pPr>
        <w:numPr>
          <w:ilvl w:val="0"/>
          <w:numId w:val="1001"/>
        </w:numPr>
        <w:pStyle w:val="Compact"/>
      </w:pPr>
      <w:r>
        <w:rPr>
          <w:bCs/>
          <w:b/>
        </w:rPr>
        <w:t xml:space="preserve">Digital Integration:</w:t>
      </w:r>
      <w:r>
        <w:t xml:space="preserve"> </w:t>
      </w:r>
      <w:r>
        <w:t xml:space="preserve">Implementation of our AI-driven virtual smile simulation platform increased consultation-to-booking conversion by 37% across all Riyadh locations.</w:t>
      </w:r>
    </w:p>
    <w:p>
      <w:pPr>
        <w:numPr>
          <w:ilvl w:val="0"/>
          <w:numId w:val="1001"/>
        </w:numPr>
        <w:pStyle w:val="Compact"/>
      </w:pPr>
      <w:r>
        <w:rPr>
          <w:bCs/>
          <w:b/>
        </w:rPr>
        <w:t xml:space="preserve">Insurance Partnerships:</w:t>
      </w:r>
      <w:r>
        <w:t xml:space="preserve"> </w:t>
      </w:r>
      <w:r>
        <w:t xml:space="preserve">Strategic contracts with 12 major Saudi insurers now cover 68% of orthodontic treatments, removing a significant barrier to entry for middle-income families.</w:t>
      </w:r>
    </w:p>
    <w:bookmarkEnd w:id="22"/>
    <w:bookmarkEnd w:id="23"/>
    <w:bookmarkStart w:id="24" w:name="X47ef0f9466f5b92f796a8a4b035f8439b585c33"/>
    <w:p>
      <w:pPr>
        <w:pStyle w:val="Heading2"/>
      </w:pPr>
      <w:r>
        <w:t xml:space="preserve">IV. Regional Market Analysis: Riyadh District Performance</w:t>
      </w:r>
    </w:p>
    <w:p>
      <w:pPr>
        <w:pStyle w:val="FirstParagraph"/>
      </w:pPr>
      <w:r>
        <w:rPr>
          <w:bCs/>
          <w:b/>
        </w:rPr>
        <w:t xml:space="preserve">Al Olaya &amp; Diplomatic Quarter:</w:t>
      </w:r>
      <w:r>
        <w:t xml:space="preserve"> </w:t>
      </w:r>
      <w:r>
        <w:t xml:space="preserve">Highest ARPP (SAR 15,400) driven by premium corporate clients; 82% of patients from this zone opted for clear aligner systems. This district remains our most profitable segment despite representing only 28% of total patient volume.</w:t>
      </w:r>
    </w:p>
    <w:p>
      <w:pPr>
        <w:pStyle w:val="BodyText"/>
      </w:pPr>
      <w:r>
        <w:rPr>
          <w:bCs/>
          <w:b/>
        </w:rPr>
        <w:t xml:space="preserve">Nazrat Al Hamad:</w:t>
      </w:r>
      <w:r>
        <w:t xml:space="preserve"> </w:t>
      </w:r>
      <w:r>
        <w:t xml:space="preserve">Fastest-growing segment (31% YoY) with strong family practice adoption; 76% of patients are under 18, indicating strategic success in pediatric orthodontic outreach programs.</w:t>
      </w:r>
    </w:p>
    <w:p>
      <w:pPr>
        <w:pStyle w:val="BodyText"/>
      </w:pPr>
      <w:r>
        <w:rPr>
          <w:bCs/>
          <w:b/>
        </w:rPr>
        <w:t xml:space="preserve">Kharj Road Corridor:</w:t>
      </w:r>
      <w:r>
        <w:t xml:space="preserve"> </w:t>
      </w:r>
      <w:r>
        <w:t xml:space="preserve">Demonstrated strongest social media engagement (+45%), with TikTok/Instagram campaigns targeting university students achieving a 2.3x higher referral rate than traditional marketing.</w:t>
      </w:r>
    </w:p>
    <w:bookmarkEnd w:id="24"/>
    <w:bookmarkStart w:id="25" w:name="Xec20e2aa8ecafff34523c96c76f22d9e0b208d8"/>
    <w:p>
      <w:pPr>
        <w:pStyle w:val="Heading2"/>
      </w:pPr>
      <w:r>
        <w:t xml:space="preserve">V. Strategic Initiatives &amp; Competitive Differentiation</w:t>
      </w:r>
    </w:p>
    <w:p>
      <w:pPr>
        <w:pStyle w:val="FirstParagraph"/>
      </w:pPr>
      <w:r>
        <w:t xml:space="preserve">Our Riyadh-based</w:t>
      </w:r>
      <w:r>
        <w:t xml:space="preserve"> </w:t>
      </w:r>
      <w:r>
        <w:rPr>
          <w:bCs/>
          <w:b/>
        </w:rPr>
        <w:t xml:space="preserve">Orthodontist</w:t>
      </w:r>
      <w:r>
        <w:t xml:space="preserve"> </w:t>
      </w:r>
      <w:r>
        <w:t xml:space="preserve">team has executed three pivotal initiatives that directly contributed to the Q3 performance surge:</w:t>
      </w:r>
    </w:p>
    <w:p>
      <w:pPr>
        <w:numPr>
          <w:ilvl w:val="0"/>
          <w:numId w:val="1002"/>
        </w:numPr>
        <w:pStyle w:val="Compact"/>
      </w:pPr>
      <w:r>
        <w:rPr>
          <w:iCs/>
          <w:i/>
        </w:rPr>
        <w:t xml:space="preserve">Riyadh Dental Concierge Program:</w:t>
      </w:r>
      <w:r>
        <w:t xml:space="preserve"> </w:t>
      </w:r>
      <w:r>
        <w:t xml:space="preserve">Offered complimentary airport pickup, multilingual staff (Arabic/English/French), and on-site translation for expatriate patients. Result: 27% increase in foreign patient acquisition at our Diplomatic Quarter clinic.</w:t>
      </w:r>
    </w:p>
    <w:p>
      <w:pPr>
        <w:numPr>
          <w:ilvl w:val="0"/>
          <w:numId w:val="1002"/>
        </w:numPr>
        <w:pStyle w:val="Compact"/>
      </w:pPr>
      <w:r>
        <w:rPr>
          <w:iCs/>
          <w:i/>
        </w:rPr>
        <w:t xml:space="preserve">Vision 2030 Health Partnership:</w:t>
      </w:r>
      <w:r>
        <w:t xml:space="preserve"> </w:t>
      </w:r>
      <w:r>
        <w:t xml:space="preserve">Co-branded health awareness workshops with Saudi Aramco and King Abdullah University, reaching 15,400 attendees across Riyadh. Generated 897 qualified leads (17.3% conversion rate).</w:t>
      </w:r>
    </w:p>
    <w:p>
      <w:pPr>
        <w:numPr>
          <w:ilvl w:val="0"/>
          <w:numId w:val="1002"/>
        </w:numPr>
        <w:pStyle w:val="Compact"/>
      </w:pPr>
      <w:r>
        <w:rPr>
          <w:iCs/>
          <w:i/>
        </w:rPr>
        <w:t xml:space="preserve">Financing Innovation:</w:t>
      </w:r>
      <w:r>
        <w:t xml:space="preserve"> </w:t>
      </w:r>
      <w:r>
        <w:t xml:space="preserve">Introduced "Riyadh Smile Financing" – zero-interest installment plans via local banks with same-day approval. This initiative accounted for 52% of new patient acquisitions in Q3.</w:t>
      </w:r>
    </w:p>
    <w:bookmarkEnd w:id="25"/>
    <w:bookmarkStart w:id="26" w:name="vi.-challenges-mitigation-strategies"/>
    <w:p>
      <w:pPr>
        <w:pStyle w:val="Heading2"/>
      </w:pPr>
      <w:r>
        <w:t xml:space="preserve">VI. Challenges &amp; Mitigation Strategies</w:t>
      </w:r>
    </w:p>
    <w:p>
      <w:pPr>
        <w:pStyle w:val="FirstParagraph"/>
      </w:pPr>
      <w:r>
        <w:rPr>
          <w:bCs/>
          <w:b/>
        </w:rPr>
        <w:t xml:space="preserve">Supply Chain Constraints:</w:t>
      </w:r>
      <w:r>
        <w:t xml:space="preserve"> </w:t>
      </w:r>
      <w:r>
        <w:t xml:space="preserve">Global dental material shortages impacted inventory levels by 19% in July. Mitigation: Secured alternative suppliers from UAE and Germany, reducing stockout risk to 3% (from 24%) by mid-Q3.</w:t>
      </w:r>
    </w:p>
    <w:p>
      <w:pPr>
        <w:pStyle w:val="BodyText"/>
      </w:pPr>
      <w:r>
        <w:rPr>
          <w:bCs/>
          <w:b/>
        </w:rPr>
        <w:t xml:space="preserve">Clinical Capacity Limitations:</w:t>
      </w:r>
      <w:r>
        <w:t xml:space="preserve"> </w:t>
      </w:r>
      <w:r>
        <w:t xml:space="preserve">Surge in demand created a 45-day average wait time for initial consultations. Mitigation: Added two new satellite clinics in Al Nahda and Al Khobar districts with shared specialist teams, reducing wait times to 18 days.</w:t>
      </w:r>
    </w:p>
    <w:p>
      <w:pPr>
        <w:pStyle w:val="BodyText"/>
      </w:pPr>
      <w:r>
        <w:rPr>
          <w:bCs/>
          <w:b/>
        </w:rPr>
        <w:t xml:space="preserve">Cultural Sensitivity Requirements:</w:t>
      </w:r>
      <w:r>
        <w:t xml:space="preserve"> </w:t>
      </w:r>
      <w:r>
        <w:t xml:space="preserve">Initial resistance from conservative families regarding treatment aesthetics. Mitigation: Developed "Family Consultation" packages including female orthodontists and gender-segregated waiting areas, increasing acceptance among traditional households by 63%.</w:t>
      </w:r>
    </w:p>
    <w:bookmarkEnd w:id="26"/>
    <w:bookmarkStart w:id="27" w:name="X4b7675516ceb4d53500f19c525ba56481e67b24"/>
    <w:p>
      <w:pPr>
        <w:pStyle w:val="Heading2"/>
      </w:pPr>
      <w:r>
        <w:t xml:space="preserve">VII. Future Outlook for Riyadh Orthodontic Market</w:t>
      </w:r>
    </w:p>
    <w:p>
      <w:pPr>
        <w:pStyle w:val="FirstParagraph"/>
      </w:pPr>
      <w:r>
        <w:t xml:space="preserve">The Saudi Ministry of Health projects the orthodontic market in</w:t>
      </w:r>
      <w:r>
        <w:t xml:space="preserve"> </w:t>
      </w:r>
      <w:r>
        <w:rPr>
          <w:bCs/>
          <w:b/>
        </w:rPr>
        <w:t xml:space="preserve">Saudi Arabia Riyadh</w:t>
      </w:r>
      <w:r>
        <w:t xml:space="preserve"> </w:t>
      </w:r>
      <w:r>
        <w:t xml:space="preserve">to reach SAR 1.8 billion by 2025, growing at 19.4% CAGR. Our sales forecast for Q4 indicates a potential 25% revenue increase driven by three key factors:</w:t>
      </w:r>
    </w:p>
    <w:p>
      <w:pPr>
        <w:numPr>
          <w:ilvl w:val="0"/>
          <w:numId w:val="1003"/>
        </w:numPr>
        <w:pStyle w:val="Compact"/>
      </w:pPr>
      <w:r>
        <w:rPr>
          <w:iCs/>
          <w:i/>
        </w:rPr>
        <w:t xml:space="preserve">Summer Campaign Launch:</w:t>
      </w:r>
      <w:r>
        <w:t xml:space="preserve"> </w:t>
      </w:r>
      <w:r>
        <w:t xml:space="preserve">"Riyadh Smile Summer" targeting school-age children with free dental screenings at all public schools (750+ schools in Riyadh metro area).</w:t>
      </w:r>
    </w:p>
    <w:p>
      <w:pPr>
        <w:numPr>
          <w:ilvl w:val="0"/>
          <w:numId w:val="1003"/>
        </w:numPr>
        <w:pStyle w:val="Compact"/>
      </w:pPr>
      <w:r>
        <w:rPr>
          <w:iCs/>
          <w:i/>
        </w:rPr>
        <w:t xml:space="preserve">New Technology Adoption:</w:t>
      </w:r>
      <w:r>
        <w:t xml:space="preserve"> </w:t>
      </w:r>
      <w:r>
        <w:t xml:space="preserve">Rollout of AI-powered 3D scanning for personalized treatment planning across all clinics by November 2023.</w:t>
      </w:r>
    </w:p>
    <w:p>
      <w:pPr>
        <w:numPr>
          <w:ilvl w:val="0"/>
          <w:numId w:val="1003"/>
        </w:numPr>
        <w:pStyle w:val="Compact"/>
      </w:pPr>
      <w:r>
        <w:rPr>
          <w:iCs/>
          <w:i/>
        </w:rPr>
        <w:t xml:space="preserve">Expansion into Residential Communities:</w:t>
      </w:r>
      <w:r>
        <w:t xml:space="preserve"> </w:t>
      </w:r>
      <w:r>
        <w:t xml:space="preserve">Strategic partnerships with leading real estate developers (Al Rajhi, Al Khazan) for in-community dental hubs targeting new housing projects in King Abdullah Financial District.</w:t>
      </w:r>
    </w:p>
    <w:bookmarkEnd w:id="27"/>
    <w:bookmarkStart w:id="28" w:name="viii.-conclusion"/>
    <w:p>
      <w:pPr>
        <w:pStyle w:val="Heading2"/>
      </w:pPr>
      <w:r>
        <w:t xml:space="preserve">VIII. Conclusion</w:t>
      </w:r>
    </w:p>
    <w:p>
      <w:pPr>
        <w:pStyle w:val="FirstParagraph"/>
      </w:pPr>
      <w:r>
        <w:t xml:space="preserve">This Sales Report confirms that our strategic positioning as a premier</w:t>
      </w:r>
      <w:r>
        <w:t xml:space="preserve"> </w:t>
      </w:r>
      <w:r>
        <w:rPr>
          <w:bCs/>
          <w:b/>
        </w:rPr>
        <w:t xml:space="preserve">Orthodontist</w:t>
      </w:r>
      <w:r>
        <w:t xml:space="preserve"> </w:t>
      </w:r>
      <w:r>
        <w:t xml:space="preserve">practice network within Riyadh, Saudi Arabia has yielded exceptional market performance during Q3 2023. The city's rapidly evolving orthodontic landscape—characterized by cultural acceptance, economic investment, and technological adoption—has created unprecedented opportunity. Our data-driven approach to patient acquisition, service innovation, and cultural alignment has positioned us to capture significant market share in the growing Riyadh orthodontic sector.</w:t>
      </w:r>
    </w:p>
    <w:p>
      <w:pPr>
        <w:pStyle w:val="BodyText"/>
      </w:pPr>
      <w:r>
        <w:t xml:space="preserve">As we enter the final quarter of 2023, we recommend maintaining our current growth trajectory with strategic emphasis on expanding financing options and digital marketing within Riyadh's emerging residential zones. The convergence of Vision 2030 healthcare priorities and rising consumer demand makes this an optimal moment to solidify our leadership position as the most trusted</w:t>
      </w:r>
      <w:r>
        <w:t xml:space="preserve"> </w:t>
      </w:r>
      <w:r>
        <w:rPr>
          <w:bCs/>
          <w:b/>
        </w:rPr>
        <w:t xml:space="preserve">Orthodontist</w:t>
      </w:r>
      <w:r>
        <w:t xml:space="preserve"> </w:t>
      </w:r>
      <w:r>
        <w:t xml:space="preserve">network in</w:t>
      </w:r>
      <w:r>
        <w:t xml:space="preserve"> </w:t>
      </w:r>
      <w:r>
        <w:rPr>
          <w:bCs/>
          <w:b/>
        </w:rPr>
        <w:t xml:space="preserve">Saudi Arabia Riyadh</w:t>
      </w:r>
      <w:r>
        <w:t xml:space="preserve">.</w:t>
      </w:r>
    </w:p>
    <w:p>
      <w:pPr>
        <w:pStyle w:val="BodyText"/>
      </w:pPr>
      <w:r>
        <w:rPr>
          <w:iCs/>
          <w:i/>
        </w:rPr>
        <w:t xml:space="preserve">"In the heart of Riyadh, where aspirations meet innovation, we don't just straighten smiles—we build confidence for a brighter Saudi future."</w:t>
      </w:r>
    </w:p>
    <w:p>
      <w:pPr>
        <w:pStyle w:val="BodyText"/>
      </w:pPr>
      <w:r>
        <w:rPr>
          <w:bCs/>
          <w:b/>
        </w:rPr>
        <w:t xml:space="preserve">Prepared by:</w:t>
      </w:r>
      <w:r>
        <w:t xml:space="preserve"> </w:t>
      </w:r>
      <w:r>
        <w:t xml:space="preserve">Sales Intelligence Division</w:t>
      </w:r>
      <w:r>
        <w:br/>
      </w:r>
      <w:r>
        <w:rPr>
          <w:bCs/>
          <w:b/>
        </w:rPr>
        <w:t xml:space="preserve">Riyadh Orthodontic Alliance | A Vision 2030 Healthcare Partner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Riyadh, Saudi Arabia</dc:title>
  <dc:creator/>
  <dc:language>en</dc:language>
  <cp:keywords/>
  <dcterms:created xsi:type="dcterms:W3CDTF">2026-07-23T11:52:09Z</dcterms:created>
  <dcterms:modified xsi:type="dcterms:W3CDTF">2026-07-23T11:52:09Z</dcterms:modified>
</cp:coreProperties>
</file>

<file path=docProps/custom.xml><?xml version="1.0" encoding="utf-8"?>
<Properties xmlns="http://schemas.openxmlformats.org/officeDocument/2006/custom-properties" xmlns:vt="http://schemas.openxmlformats.org/officeDocument/2006/docPropsVTypes"/>
</file>