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Dakar,</w:t>
      </w:r>
      <w:r>
        <w:t xml:space="preserve"> </w:t>
      </w:r>
      <w:r>
        <w:t xml:space="preserve">Senegal</w:t>
      </w:r>
    </w:p>
    <w:bookmarkStart w:id="27" w:name="Xa7b6269c452c95f82e9badb57915060fe38e9cf"/>
    <w:p>
      <w:pPr>
        <w:pStyle w:val="Heading1"/>
      </w:pPr>
      <w:r>
        <w:t xml:space="preserve">Sales Report: Orthodontic Services Market Performance in Dakar, Senegal</w:t>
      </w:r>
    </w:p>
    <w:bookmarkStart w:id="20" w:name="executive-summary"/>
    <w:p>
      <w:pPr>
        <w:pStyle w:val="Heading2"/>
      </w:pPr>
      <w:r>
        <w:t xml:space="preserve">Executive Summary</w:t>
      </w:r>
    </w:p>
    <w:p>
      <w:pPr>
        <w:pStyle w:val="FirstParagraph"/>
      </w:pPr>
      <w:r>
        <w:t xml:space="preserve">This comprehensive Sales Report details the performance of orthodontic services within the Dakar metropolitan area of Senegal over the first half of 2023. As one of West Africa's most dynamic urban centers, Dakar presents unique opportunities and challenges for orthodontic professionals. The report confirms significant growth in demand for quality orthodontic care, with our practice achieving a 37% year-over-year increase in patient acquisitions. This success underscores the critical importance of culturally attuned orthodontist services in Senegal's evolving healthcare landscape.</w:t>
      </w:r>
    </w:p>
    <w:bookmarkEnd w:id="20"/>
    <w:bookmarkStart w:id="21" w:name="X3c33558976fa219e669767b9a12ee2f725ddd52"/>
    <w:p>
      <w:pPr>
        <w:pStyle w:val="Heading2"/>
      </w:pPr>
      <w:r>
        <w:t xml:space="preserve">Market Context: Orthodontic Demand in Dakar, Senegal</w:t>
      </w:r>
    </w:p>
    <w:p>
      <w:pPr>
        <w:pStyle w:val="FirstParagraph"/>
      </w:pPr>
      <w:r>
        <w:t xml:space="preserve">Dakar represents the epicenter of dental healthcare innovation in Senegal, housing 68% of the country's certified orthodontists. Our Sales Report analyzes data from 14 major dental clinics across Dakar and reveals a rapidly expanding market driven by three key factors: increasing disposable incomes among middle-class families (24% annual growth), heightened awareness of oral health through national campaigns like "Dentaire pour Tous" (Dental for All), and the growing preference for cosmetic dentistry among Senegalese youth. The orthodontist profession has transitioned from being viewed as a luxury service to an essential component of comprehensive dental healthcare in urban Senegal.</w:t>
      </w:r>
    </w:p>
    <w:bookmarkEnd w:id="21"/>
    <w:bookmarkStart w:id="22" w:name="sales-performance-breakdown-q1-q2-2023"/>
    <w:p>
      <w:pPr>
        <w:pStyle w:val="Heading2"/>
      </w:pPr>
      <w:r>
        <w:t xml:space="preserve">Sales Performance Breakdown (Q1-Q2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 Sales</w:t>
            </w:r>
          </w:p>
        </w:tc>
        <w:tc>
          <w:tcPr/>
          <w:p>
            <w:pPr>
              <w:pStyle w:val="Compact"/>
              <w:jc w:val="left"/>
            </w:pPr>
            <w:r>
              <w:t xml:space="preserve">Q2 2023 Sales</w:t>
            </w:r>
          </w:p>
        </w:tc>
        <w:tc>
          <w:tcPr/>
          <w:p>
            <w:pPr>
              <w:pStyle w:val="Compact"/>
              <w:jc w:val="left"/>
            </w:pPr>
            <w:r>
              <w:t xml:space="preserve">% Growth (Q1-Q2)</w:t>
            </w:r>
          </w:p>
        </w:tc>
      </w:tr>
      <w:tr>
        <w:tc>
          <w:tcPr/>
          <w:p>
            <w:pPr>
              <w:pStyle w:val="Compact"/>
              <w:jc w:val="left"/>
            </w:pPr>
            <w:r>
              <w:t xml:space="preserve">Traditional Braces (Metal)</w:t>
            </w:r>
          </w:p>
        </w:tc>
        <w:tc>
          <w:tcPr/>
          <w:p>
            <w:pPr>
              <w:pStyle w:val="Compact"/>
              <w:jc w:val="left"/>
            </w:pPr>
            <w:r>
              <w:t xml:space="preserve">XOF 4,850,000</w:t>
            </w:r>
          </w:p>
        </w:tc>
        <w:tc>
          <w:tcPr/>
          <w:p>
            <w:pPr>
              <w:pStyle w:val="Compact"/>
              <w:jc w:val="left"/>
            </w:pPr>
            <w:r>
              <w:t xml:space="preserve">XOF 5,213,000</w:t>
            </w:r>
          </w:p>
        </w:tc>
        <w:tc>
          <w:tcPr/>
          <w:p>
            <w:pPr>
              <w:pStyle w:val="Compact"/>
              <w:jc w:val="left"/>
            </w:pPr>
            <w:r>
              <w:t xml:space="preserve">7.5%</w:t>
            </w:r>
          </w:p>
        </w:tc>
      </w:tr>
      <w:tr>
        <w:tc>
          <w:tcPr/>
          <w:p>
            <w:pPr>
              <w:pStyle w:val="Compact"/>
              <w:jc w:val="left"/>
            </w:pPr>
            <w:r>
              <w:t xml:space="preserve">Clear Aligners (Invisalign)</w:t>
            </w:r>
          </w:p>
        </w:tc>
        <w:tc>
          <w:tcPr/>
          <w:p>
            <w:pPr>
              <w:pStyle w:val="Compact"/>
              <w:jc w:val="left"/>
            </w:pPr>
            <w:r>
              <w:t xml:space="preserve">XOF 2,145,000</w:t>
            </w:r>
          </w:p>
        </w:tc>
        <w:tc>
          <w:tcPr/>
          <w:p>
            <w:pPr>
              <w:pStyle w:val="Compact"/>
              <w:jc w:val="left"/>
            </w:pPr>
            <w:r>
              <w:t xml:space="preserve">XOF 3,892,000</w:t>
            </w:r>
          </w:p>
        </w:tc>
        <w:tc>
          <w:tcPr/>
          <w:p>
            <w:pPr>
              <w:pStyle w:val="Compact"/>
              <w:jc w:val="left"/>
            </w:pPr>
            <w:r>
              <w:t xml:space="preserve">81.4%</w:t>
            </w:r>
          </w:p>
        </w:tc>
      </w:tr>
      <w:tr>
        <w:tc>
          <w:tcPr/>
          <w:p>
            <w:pPr>
              <w:pStyle w:val="Compact"/>
              <w:jc w:val="left"/>
            </w:pPr>
            <w:r>
              <w:t xml:space="preserve">Pediatric Orthodontics (Ages 7-12)</w:t>
            </w:r>
          </w:p>
        </w:tc>
        <w:tc>
          <w:tcPr/>
          <w:p>
            <w:pPr>
              <w:pStyle w:val="Compact"/>
              <w:jc w:val="left"/>
            </w:pPr>
            <w:r>
              <w:t xml:space="preserve">XOF 1,678,000</w:t>
            </w:r>
          </w:p>
        </w:tc>
        <w:tc>
          <w:tcPr/>
          <w:p>
            <w:pPr>
              <w:pStyle w:val="Compact"/>
              <w:jc w:val="left"/>
            </w:pPr>
            <w:r>
              <w:t xml:space="preserve">XOF 2,345,000</w:t>
            </w:r>
          </w:p>
        </w:tc>
        <w:tc>
          <w:tcPr/>
          <w:p>
            <w:pPr>
              <w:pStyle w:val="Compact"/>
              <w:jc w:val="left"/>
            </w:pPr>
            <w:r>
              <w:t xml:space="preserve">40.9%</w:t>
            </w:r>
          </w:p>
        </w:tc>
      </w:tr>
      <w:tr>
        <w:tc>
          <w:tcPr/>
          <w:p>
            <w:pPr>
              <w:pStyle w:val="Compact"/>
              <w:jc w:val="left"/>
            </w:pPr>
            <w:r>
              <w:t xml:space="preserve">Retention &amp; Post-Orthodontic Care</w:t>
            </w:r>
          </w:p>
        </w:tc>
        <w:tc>
          <w:tcPr/>
          <w:p>
            <w:pPr>
              <w:pStyle w:val="Compact"/>
              <w:jc w:val="left"/>
            </w:pPr>
            <w:r>
              <w:t xml:space="preserve">XOF 1,326,000</w:t>
            </w:r>
          </w:p>
        </w:tc>
        <w:tc>
          <w:tcPr/>
          <w:p>
            <w:pPr>
              <w:pStyle w:val="Compact"/>
              <w:jc w:val="left"/>
            </w:pPr>
            <w:r>
              <w:t xml:space="preserve">XOF 1,687,500</w:t>
            </w:r>
          </w:p>
        </w:tc>
        <w:tc>
          <w:tcPr/>
          <w:p>
            <w:pPr>
              <w:pStyle w:val="Compact"/>
              <w:jc w:val="left"/>
            </w:pPr>
            <w:r>
              <w:t xml:space="preserve">27.2%</w:t>
            </w:r>
          </w:p>
        </w:tc>
      </w:tr>
      <w:tr>
        <w:tc>
          <w:tcPr/>
          <w:p>
            <w:pPr>
              <w:pStyle w:val="Compact"/>
              <w:jc w:val="left"/>
            </w:pPr>
            <w:r>
              <w:t xml:space="preserve">Total Revenue</w:t>
            </w:r>
          </w:p>
        </w:tc>
        <w:tc>
          <w:tcPr/>
          <w:p>
            <w:pPr>
              <w:pStyle w:val="Compact"/>
              <w:jc w:val="left"/>
            </w:pPr>
            <w:r>
              <w:rPr>
                <w:bCs/>
                <w:b/>
              </w:rPr>
              <w:t xml:space="preserve">XOF 9,999,000</w:t>
            </w:r>
          </w:p>
        </w:tc>
        <w:tc>
          <w:tcPr/>
          <w:p>
            <w:pPr>
              <w:pStyle w:val="Compact"/>
              <w:jc w:val="left"/>
            </w:pPr>
            <w:r>
              <w:rPr>
                <w:bCs/>
                <w:b/>
              </w:rPr>
              <w:t xml:space="preserve">XOF 13,137,500</w:t>
            </w:r>
          </w:p>
        </w:tc>
        <w:tc>
          <w:tcPr/>
          <w:p>
            <w:pPr>
              <w:pStyle w:val="Compact"/>
              <w:jc w:val="left"/>
            </w:pPr>
            <w:r>
              <w:rPr>
                <w:bCs/>
                <w:b/>
              </w:rPr>
              <w:t xml:space="preserve">31.4%</w:t>
            </w:r>
          </w:p>
        </w:tc>
      </w:tr>
    </w:tbl>
    <w:bookmarkEnd w:id="22"/>
    <w:bookmarkStart w:id="23" w:name="Xe5b40c2122033dcb9b9509248a9afda38c07957"/>
    <w:p>
      <w:pPr>
        <w:pStyle w:val="Heading2"/>
      </w:pPr>
      <w:r>
        <w:t xml:space="preserve">Key Success Factors for Orthodontist Practices in Dakar</w:t>
      </w:r>
    </w:p>
    <w:p>
      <w:pPr>
        <w:pStyle w:val="FirstParagraph"/>
      </w:pPr>
      <w:r>
        <w:t xml:space="preserve">The Sales Report identifies three critical success factors that differentiate leading orthodontist practices in Senegal Dakar:</w:t>
      </w:r>
    </w:p>
    <w:p>
      <w:pPr>
        <w:numPr>
          <w:ilvl w:val="0"/>
          <w:numId w:val="1001"/>
        </w:numPr>
        <w:pStyle w:val="Compact"/>
      </w:pPr>
      <w:r>
        <w:rPr>
          <w:bCs/>
          <w:b/>
        </w:rPr>
        <w:t xml:space="preserve">Cultural Competency:</w:t>
      </w:r>
      <w:r>
        <w:t xml:space="preserve"> </w:t>
      </w:r>
      <w:r>
        <w:t xml:space="preserve">Our clinic's investment in multilingual staff (French, Wolof, Peul) and culturally sensitive communication has increased patient retention by 42% compared to clinics using only French. The ability of the orthodontist to explain treatment plans through Senegalese cultural lens (e.g., connecting oral health to family traditions) is a decisive factor for client acquisition.</w:t>
      </w:r>
    </w:p>
    <w:p>
      <w:pPr>
        <w:numPr>
          <w:ilvl w:val="0"/>
          <w:numId w:val="1001"/>
        </w:numPr>
        <w:pStyle w:val="Compact"/>
      </w:pPr>
      <w:r>
        <w:rPr>
          <w:bCs/>
          <w:b/>
        </w:rPr>
        <w:t xml:space="preserve">Financial Accessibility:</w:t>
      </w:r>
      <w:r>
        <w:t xml:space="preserve"> </w:t>
      </w:r>
      <w:r>
        <w:t xml:space="preserve">Introduction of flexible payment plans (3-12 months installments) has expanded our patient base by 35% among the middle-income demographic, which represents 68% of Dakar's orthodontic market. This model directly addresses the primary barrier to orthodontic care in Senegal: cost sensitivity.</w:t>
      </w:r>
    </w:p>
    <w:p>
      <w:pPr>
        <w:numPr>
          <w:ilvl w:val="0"/>
          <w:numId w:val="1001"/>
        </w:numPr>
        <w:pStyle w:val="Compact"/>
      </w:pPr>
      <w:r>
        <w:rPr>
          <w:bCs/>
          <w:b/>
        </w:rPr>
        <w:t xml:space="preserve">Technology Adoption:</w:t>
      </w:r>
      <w:r>
        <w:t xml:space="preserve"> </w:t>
      </w:r>
      <w:r>
        <w:t xml:space="preserve">Implementation of digital smile simulations and intraoral scanners has reduced consultation time by 30% while increasing treatment acceptance rates. Clear aligners now represent 42% of our total sales (up from 28% in Q1 2022), reflecting Senegalese patients' growing preference for discreet orthodontic options.</w:t>
      </w:r>
    </w:p>
    <w:bookmarkEnd w:id="23"/>
    <w:bookmarkStart w:id="24" w:name="X3289a7011ba2bb4b191c487d274c0d2a3121a3a"/>
    <w:p>
      <w:pPr>
        <w:pStyle w:val="Heading2"/>
      </w:pPr>
      <w:r>
        <w:t xml:space="preserve">Challenges Specific to Senegal Dakar Market</w:t>
      </w:r>
    </w:p>
    <w:p>
      <w:pPr>
        <w:pStyle w:val="FirstParagraph"/>
      </w:pPr>
      <w:r>
        <w:t xml:space="preserve">Our Sales Report acknowledges persistent challenges requiring strategic attention:</w:t>
      </w:r>
    </w:p>
    <w:p>
      <w:pPr>
        <w:numPr>
          <w:ilvl w:val="0"/>
          <w:numId w:val="1002"/>
        </w:numPr>
        <w:pStyle w:val="Compact"/>
      </w:pPr>
      <w:r>
        <w:rPr>
          <w:bCs/>
          <w:b/>
        </w:rPr>
        <w:t xml:space="preserve">Supply Chain Constraints:</w:t>
      </w:r>
      <w:r>
        <w:t xml:space="preserve"> </w:t>
      </w:r>
      <w:r>
        <w:t xml:space="preserve">Importation of orthodontic materials faces 14-18 week delays due to customs procedures at Port of Dakar, increasing operational costs by 19%. This impacts the orthodontist's ability to maintain optimal inventory levels.</w:t>
      </w:r>
    </w:p>
    <w:p>
      <w:pPr>
        <w:numPr>
          <w:ilvl w:val="0"/>
          <w:numId w:val="1002"/>
        </w:numPr>
        <w:pStyle w:val="Compact"/>
      </w:pPr>
      <w:r>
        <w:rPr>
          <w:bCs/>
          <w:b/>
        </w:rPr>
        <w:t xml:space="preserve">Lack of Local Training:</w:t>
      </w:r>
      <w:r>
        <w:t xml:space="preserve"> </w:t>
      </w:r>
      <w:r>
        <w:t xml:space="preserve">Only three dental schools in Senegal offer orthodontic specialization, creating a severe talent shortage. The average vacancy rate for orthodontists in Dakar is 27%, requiring practices to invest heavily in training junior dentists.</w:t>
      </w:r>
    </w:p>
    <w:p>
      <w:pPr>
        <w:numPr>
          <w:ilvl w:val="0"/>
          <w:numId w:val="1002"/>
        </w:numPr>
        <w:pStyle w:val="Compact"/>
      </w:pPr>
      <w:r>
        <w:rPr>
          <w:bCs/>
          <w:b/>
        </w:rPr>
        <w:t xml:space="preserve">Insurance Coverage Gaps:</w:t>
      </w:r>
      <w:r>
        <w:t xml:space="preserve"> </w:t>
      </w:r>
      <w:r>
        <w:t xml:space="preserve">Less than 12% of Senegalese health insurance plans cover orthodontic treatment, placing full financial responsibility on patients. This necessitates aggressive patient education about long-term value versus initial cost.</w:t>
      </w:r>
    </w:p>
    <w:bookmarkEnd w:id="24"/>
    <w:bookmarkStart w:id="25" w:name="Xb5cd9576d5b8950a422c2c1916a728218167d72"/>
    <w:p>
      <w:pPr>
        <w:pStyle w:val="Heading2"/>
      </w:pPr>
      <w:r>
        <w:t xml:space="preserve">Market Growth Projections &amp; Strategic Recommendations</w:t>
      </w:r>
    </w:p>
    <w:p>
      <w:pPr>
        <w:pStyle w:val="FirstParagraph"/>
      </w:pPr>
      <w:r>
        <w:t xml:space="preserve">Based on current trajectory, our Sales Report projects Dakar's orthodontic market will reach XOF 150 billion by 2025 (from XOF 84 billion in 2023). To capture this growth, we recommend three priority actions:</w:t>
      </w:r>
    </w:p>
    <w:p>
      <w:pPr>
        <w:numPr>
          <w:ilvl w:val="0"/>
          <w:numId w:val="1003"/>
        </w:numPr>
        <w:pStyle w:val="Compact"/>
      </w:pPr>
      <w:r>
        <w:rPr>
          <w:bCs/>
          <w:b/>
        </w:rPr>
        <w:t xml:space="preserve">Establish Community Partnerships:</w:t>
      </w:r>
      <w:r>
        <w:t xml:space="preserve"> </w:t>
      </w:r>
      <w:r>
        <w:t xml:space="preserve">Collaborate with Dakar-based NGOs and schools for free dental screenings. This builds trust within Senegalese communities and generates referral traffic while fulfilling corporate social responsibility goals.</w:t>
      </w:r>
    </w:p>
    <w:p>
      <w:pPr>
        <w:numPr>
          <w:ilvl w:val="0"/>
          <w:numId w:val="1003"/>
        </w:numPr>
        <w:pStyle w:val="Compact"/>
      </w:pPr>
      <w:r>
        <w:rPr>
          <w:bCs/>
          <w:b/>
        </w:rPr>
        <w:t xml:space="preserve">Develop Local Training Programs:</w:t>
      </w:r>
      <w:r>
        <w:t xml:space="preserve"> </w:t>
      </w:r>
      <w:r>
        <w:t xml:space="preserve">Partner with Cheikh Anta Diop University to create an orthodontic assistant certification program addressing the talent shortage. This ensures a sustainable pipeline of skilled personnel for Dakar practices.</w:t>
      </w:r>
    </w:p>
    <w:p>
      <w:pPr>
        <w:numPr>
          <w:ilvl w:val="0"/>
          <w:numId w:val="1003"/>
        </w:numPr>
        <w:pStyle w:val="Compact"/>
      </w:pPr>
      <w:r>
        <w:rPr>
          <w:bCs/>
          <w:b/>
        </w:rPr>
        <w:t xml:space="preserve">Leverage Digital Marketing in Senegalese Context:</w:t>
      </w:r>
      <w:r>
        <w:t xml:space="preserve"> </w:t>
      </w:r>
      <w:r>
        <w:t xml:space="preserve">Invest in WhatsApp-based appointment systems and Facebook advertising using Wolof-language content, which has shown 230% higher engagement rates than traditional methods among Dakar residents.</w:t>
      </w:r>
    </w:p>
    <w:bookmarkEnd w:id="25"/>
    <w:bookmarkStart w:id="26" w:name="X01f70306a6b121d415bfd8389fe465f2abfe363"/>
    <w:p>
      <w:pPr>
        <w:pStyle w:val="Heading2"/>
      </w:pPr>
      <w:r>
        <w:t xml:space="preserve">Conclusion: The Future of Orthodontist Practice in Senegal Dakar</w:t>
      </w:r>
    </w:p>
    <w:p>
      <w:pPr>
        <w:pStyle w:val="FirstParagraph"/>
      </w:pPr>
      <w:r>
        <w:t xml:space="preserve">This Sales Report confirms that the orthodontic market in Senegal Dakar is not merely growing—it is transforming. What was once a niche service for elite families has become mainstream healthcare requiring localized business strategies. The successful orthodontist in Dakar must balance technical expertise with cultural intelligence, financial innovation, and community engagement. As our practice continues to lead this evolution through data-driven decision-making, we remain committed to making quality orthodontic care accessible across Senegal's most vibrant urban center.</w:t>
      </w:r>
    </w:p>
    <w:p>
      <w:pPr>
        <w:pStyle w:val="BodyText"/>
      </w:pPr>
      <w:r>
        <w:t xml:space="preserve">With strategic implementation of these recommendations, our orthodontist practice will maintain its 30%+ annual growth trajectory while setting new standards for dental healthcare delivery in Senegal Dakar. The market opportunity is substantial, and our Sales Report demonstrates that cultural adaptation isn't optional—it's the foundation of commercial success in this dynamic market.</w:t>
      </w:r>
    </w:p>
    <w:p>
      <w:pPr>
        <w:pStyle w:val="BodyText"/>
      </w:pPr>
      <w:r>
        <w:rPr>
          <w:bCs/>
          <w:b/>
        </w:rPr>
        <w:t xml:space="preserve">Prepared by:</w:t>
      </w:r>
      <w:r>
        <w:t xml:space="preserve"> </w:t>
      </w:r>
      <w:r>
        <w:t xml:space="preserve">Dakar Dental Analytics Division</w:t>
      </w:r>
      <w:r>
        <w:br/>
      </w:r>
      <w:r>
        <w:rPr>
          <w:bCs/>
          <w:b/>
        </w:rPr>
        <w:t xml:space="preserve">Date:</w:t>
      </w:r>
      <w:r>
        <w:t xml:space="preserve"> </w:t>
      </w:r>
      <w:r>
        <w:t xml:space="preserve">July 26, 2023</w:t>
      </w:r>
      <w:r>
        <w:br/>
      </w:r>
      <w:r>
        <w:rPr>
          <w:bCs/>
          <w:b/>
        </w:rPr>
        <w:t xml:space="preserve">For Distribution to Orthodontist Practice Owners in Senegal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Orthodontic Services Market Analysis - Dakar, Senegal</dc:title>
  <dc:creator/>
  <cp:keywords/>
  <dcterms:created xsi:type="dcterms:W3CDTF">2026-07-23T13:23:17Z</dcterms:created>
  <dcterms:modified xsi:type="dcterms:W3CDTF">2026-07-23T13:23:17Z</dcterms:modified>
</cp:coreProperties>
</file>

<file path=docProps/custom.xml><?xml version="1.0" encoding="utf-8"?>
<Properties xmlns="http://schemas.openxmlformats.org/officeDocument/2006/custom-properties" xmlns:vt="http://schemas.openxmlformats.org/officeDocument/2006/docPropsVTypes"/>
</file>