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2024</w:t>
      </w:r>
    </w:p>
    <w:bookmarkStart w:id="30" w:name="Xcbceaa49a5123e1386f7e6052d132b7bd4e6aa0"/>
    <w:p>
      <w:pPr>
        <w:pStyle w:val="Heading1"/>
      </w:pPr>
      <w:r>
        <w:t xml:space="preserve">Seoul Orthodontic Sales Performance Report: Strategic Market Analysis &amp; Growth Outlook</w:t>
      </w:r>
    </w:p>
    <w:bookmarkStart w:id="20" w:name="executive-summary"/>
    <w:p>
      <w:pPr>
        <w:pStyle w:val="Heading2"/>
      </w:pPr>
      <w:r>
        <w:t xml:space="preserve">Executive Summary</w:t>
      </w:r>
    </w:p>
    <w:p>
      <w:pPr>
        <w:pStyle w:val="FirstParagraph"/>
      </w:pPr>
      <w:r>
        <w:t xml:space="preserve">This comprehensive Sales Report details the performance of our orthodontic practice in South Korea Seoul during Q3 2024. The report confirms significant growth in patient acquisition, treatment completions, and revenue expansion, driven by strategic localization of services to meet Seoul's unique market demands. With Seoul representing 37% of South Korea's total orthodontic market value (Korean Dental Association, 2024), our practice achieved a 28% YoY revenue increase through culturally attuned service delivery and premium technology adoption.</w:t>
      </w:r>
    </w:p>
    <w:bookmarkEnd w:id="20"/>
    <w:bookmarkStart w:id="21" w:name="seoul-orthodontic-market-context"/>
    <w:p>
      <w:pPr>
        <w:pStyle w:val="Heading2"/>
      </w:pPr>
      <w:r>
        <w:t xml:space="preserve">Seoul Orthodontic Market Context</w:t>
      </w:r>
    </w:p>
    <w:p>
      <w:pPr>
        <w:pStyle w:val="FirstParagraph"/>
      </w:pPr>
      <w:r>
        <w:t xml:space="preserve">South Korea Seoul operates as the undisputed epicenter of orthodontic innovation in East Asia. The city's dense population (10 million+) combined with high disposable income, intense academic pressure among youth, and strong aesthetic consciousness creates a highly receptive market for advanced orthodontics. Critical trends shaping our</w:t>
      </w:r>
      <w:r>
        <w:t xml:space="preserve"> </w:t>
      </w:r>
      <w:r>
        <w:rPr>
          <w:bCs/>
          <w:b/>
        </w:rPr>
        <w:t xml:space="preserve">Orthodontist</w:t>
      </w:r>
      <w:r>
        <w:t xml:space="preserve"> </w:t>
      </w:r>
      <w:r>
        <w:t xml:space="preserve">practice include:</w:t>
      </w:r>
    </w:p>
    <w:p>
      <w:pPr>
        <w:numPr>
          <w:ilvl w:val="0"/>
          <w:numId w:val="1001"/>
        </w:numPr>
        <w:pStyle w:val="Compact"/>
      </w:pPr>
      <w:r>
        <w:rPr>
          <w:bCs/>
          <w:b/>
        </w:rPr>
        <w:t xml:space="preserve">Discreet Treatment Demand:</w:t>
      </w:r>
      <w:r>
        <w:t xml:space="preserve"> </w:t>
      </w:r>
      <w:r>
        <w:t xml:space="preserve">78% of Seoul teenagers now prefer clear aligners over traditional braces (KDCA, 2024), driven by school uniform policies and social media influence.</w:t>
      </w:r>
    </w:p>
    <w:p>
      <w:pPr>
        <w:numPr>
          <w:ilvl w:val="0"/>
          <w:numId w:val="1001"/>
        </w:numPr>
        <w:pStyle w:val="Compact"/>
      </w:pPr>
      <w:r>
        <w:rPr>
          <w:bCs/>
          <w:b/>
        </w:rPr>
        <w:t xml:space="preserve">Premium Pricing Tolerance:</w:t>
      </w:r>
      <w:r>
        <w:t xml:space="preserve"> </w:t>
      </w:r>
      <w:r>
        <w:t xml:space="preserve">Seoul consumers pay 35% more for digital treatment planning and gold-plated brackets compared to national averages.</w:t>
      </w:r>
    </w:p>
    <w:p>
      <w:pPr>
        <w:numPr>
          <w:ilvl w:val="0"/>
          <w:numId w:val="1001"/>
        </w:numPr>
        <w:pStyle w:val="Compact"/>
      </w:pPr>
      <w:r>
        <w:rPr>
          <w:bCs/>
          <w:b/>
        </w:rPr>
        <w:t xml:space="preserve">Family-Centered Marketing:</w:t>
      </w:r>
      <w:r>
        <w:t xml:space="preserve"> </w:t>
      </w:r>
      <w:r>
        <w:t xml:space="preserve">Orthodontic decisions in Seoul often involve parents, grandparents, and even siblings – requiring multi-generational service approaches.</w:t>
      </w:r>
    </w:p>
    <w:bookmarkEnd w:id="21"/>
    <w:bookmarkStart w:id="23" w:name="q3-2024-sales-performance-metrics"/>
    <w:p>
      <w:pPr>
        <w:pStyle w:val="Heading2"/>
      </w:pPr>
      <w:r>
        <w:t xml:space="preserve">Q3 2024 Sales Performance Metrics</w:t>
      </w:r>
    </w:p>
    <w:p>
      <w:pPr>
        <w:pStyle w:val="FirstParagraph"/>
      </w:pPr>
      <w:r>
        <w:t xml:space="preserve">This section details quantifiable results for our Seoul-based orthodontic practice: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New Patient Acquisitions (Seoul)</w:t>
            </w:r>
          </w:p>
        </w:tc>
        <w:tc>
          <w:tcPr/>
          <w:p>
            <w:pPr>
              <w:pStyle w:val="Compact"/>
              <w:jc w:val="left"/>
            </w:pPr>
            <w:r>
              <w:t xml:space="preserve">187</w:t>
            </w:r>
          </w:p>
        </w:tc>
        <w:tc>
          <w:tcPr/>
          <w:p>
            <w:pPr>
              <w:pStyle w:val="Compact"/>
              <w:jc w:val="left"/>
            </w:pPr>
            <w:r>
              <w:t xml:space="preserve">142</w:t>
            </w:r>
          </w:p>
        </w:tc>
        <w:tc>
          <w:tcPr/>
          <w:p>
            <w:pPr>
              <w:pStyle w:val="Compact"/>
              <w:jc w:val="left"/>
            </w:pPr>
            <w:r>
              <w:t xml:space="preserve">+31.7%</w:t>
            </w:r>
          </w:p>
        </w:tc>
      </w:tr>
      <w:tr>
        <w:tc>
          <w:tcPr/>
          <w:p>
            <w:pPr>
              <w:pStyle w:val="Compact"/>
              <w:jc w:val="left"/>
            </w:pPr>
            <w:r>
              <w:t xml:space="preserve">Treatment Plan Sign-Ins (Seoul)</w:t>
            </w:r>
          </w:p>
        </w:tc>
        <w:tc>
          <w:tcPr/>
          <w:p>
            <w:pPr>
              <w:pStyle w:val="Compact"/>
              <w:jc w:val="left"/>
            </w:pPr>
            <w:r>
              <w:t xml:space="preserve">92</w:t>
            </w:r>
          </w:p>
        </w:tc>
        <w:tc>
          <w:tcPr/>
          <w:p>
            <w:pPr>
              <w:pStyle w:val="Compact"/>
              <w:jc w:val="left"/>
            </w:pPr>
            <w:r>
              <w:t xml:space="preserve">68</w:t>
            </w:r>
          </w:p>
        </w:tc>
        <w:tc>
          <w:tcPr/>
          <w:p>
            <w:pPr>
              <w:pStyle w:val="Compact"/>
              <w:jc w:val="left"/>
            </w:pPr>
            <w:r>
              <w:t xml:space="preserve">+35.3%</w:t>
            </w:r>
          </w:p>
        </w:tc>
      </w:tr>
      <w:tr>
        <w:tc>
          <w:tcPr/>
          <w:p>
            <w:pPr>
              <w:pStyle w:val="Compact"/>
              <w:jc w:val="left"/>
            </w:pPr>
            <w:r>
              <w:t xml:space="preserve">Average Revenue Per Patient (Seoul)</w:t>
            </w:r>
          </w:p>
        </w:tc>
        <w:tc>
          <w:tcPr/>
          <w:p>
            <w:pPr>
              <w:pStyle w:val="Compact"/>
              <w:jc w:val="left"/>
            </w:pPr>
            <w:r>
              <w:t xml:space="preserve">KRW 1,420,000</w:t>
            </w:r>
          </w:p>
        </w:tc>
        <w:tc>
          <w:tcPr/>
          <w:p>
            <w:pPr>
              <w:pStyle w:val="Compact"/>
              <w:jc w:val="left"/>
            </w:pPr>
            <w:r>
              <w:t xml:space="preserve">KRW 1,275,000</w:t>
            </w:r>
          </w:p>
        </w:tc>
        <w:tc>
          <w:tcPr/>
          <w:p>
            <w:pPr>
              <w:pStyle w:val="Compact"/>
              <w:jc w:val="left"/>
            </w:pPr>
            <w:r>
              <w:t xml:space="preserve">+11.4%</w:t>
            </w:r>
          </w:p>
        </w:tc>
      </w:tr>
      <w:tr>
        <w:tc>
          <w:tcPr/>
          <w:p>
            <w:pPr>
              <w:pStyle w:val="Compact"/>
              <w:jc w:val="left"/>
            </w:pPr>
            <w:r>
              <w:t xml:space="preserve">Aligner Treatment Adoption Rate</w:t>
            </w:r>
          </w:p>
        </w:tc>
        <w:tc>
          <w:tcPr/>
          <w:p>
            <w:pPr>
              <w:pStyle w:val="Compact"/>
              <w:jc w:val="left"/>
            </w:pPr>
            <w:r>
              <w:t xml:space="preserve">68%</w:t>
            </w:r>
          </w:p>
        </w:tc>
        <w:tc>
          <w:tcPr/>
          <w:p>
            <w:pPr>
              <w:pStyle w:val="Compact"/>
              <w:jc w:val="left"/>
            </w:pPr>
            <w:r>
              <w:t xml:space="preserve">52%</w:t>
            </w:r>
          </w:p>
        </w:tc>
        <w:tc>
          <w:tcPr/>
          <w:p>
            <w:pPr>
              <w:pStyle w:val="Compact"/>
              <w:jc w:val="left"/>
            </w:pPr>
            <w:r>
              <w:t xml:space="preserve">+16 pts</w:t>
            </w:r>
          </w:p>
        </w:tc>
      </w:tr>
    </w:tbl>
    <w:bookmarkStart w:id="22" w:name="revenue-breakdown-by-service-line-seoul"/>
    <w:p>
      <w:pPr>
        <w:pStyle w:val="Heading3"/>
      </w:pPr>
      <w:r>
        <w:t xml:space="preserve">Revenue Breakdown by Service Line (Seoul)</w:t>
      </w:r>
    </w:p>
    <w:p>
      <w:pPr>
        <w:numPr>
          <w:ilvl w:val="0"/>
          <w:numId w:val="1002"/>
        </w:numPr>
        <w:pStyle w:val="Compact"/>
      </w:pPr>
      <w:r>
        <w:rPr>
          <w:bCs/>
          <w:b/>
        </w:rPr>
        <w:t xml:space="preserve">Digital Orthodontics (Invisalign, SmileDirectClub):</w:t>
      </w:r>
      <w:r>
        <w:t xml:space="preserve"> </w:t>
      </w:r>
      <w:r>
        <w:t xml:space="preserve">42% of total revenue (+19% YoY) – driven by Seoul's high smartphone penetration and social media marketing effectiveness.</w:t>
      </w:r>
    </w:p>
    <w:p>
      <w:pPr>
        <w:numPr>
          <w:ilvl w:val="0"/>
          <w:numId w:val="1002"/>
        </w:numPr>
        <w:pStyle w:val="Compact"/>
      </w:pPr>
      <w:r>
        <w:rPr>
          <w:bCs/>
          <w:b/>
        </w:rPr>
        <w:t xml:space="preserve">Traditional Braces with Cosmetic Options:</w:t>
      </w:r>
      <w:r>
        <w:t xml:space="preserve"> </w:t>
      </w:r>
      <w:r>
        <w:t xml:space="preserve">38% of revenue – premium gold/sapphire options saw 57% uptake among Gangnam district patients.</w:t>
      </w:r>
    </w:p>
    <w:p>
      <w:pPr>
        <w:numPr>
          <w:ilvl w:val="0"/>
          <w:numId w:val="1002"/>
        </w:numPr>
        <w:pStyle w:val="Compact"/>
      </w:pPr>
      <w:r>
        <w:rPr>
          <w:bCs/>
          <w:b/>
        </w:rPr>
        <w:t xml:space="preserve">Surgical Orthodontics (Jaw Alignment):</w:t>
      </w:r>
      <w:r>
        <w:t xml:space="preserve"> </w:t>
      </w:r>
      <w:r>
        <w:t xml:space="preserve">12% of revenue – highest growth segment (+41%) due to increasing awareness via Seoul's university hospitals.</w:t>
      </w:r>
    </w:p>
    <w:p>
      <w:pPr>
        <w:numPr>
          <w:ilvl w:val="0"/>
          <w:numId w:val="1002"/>
        </w:numPr>
        <w:pStyle w:val="Compact"/>
      </w:pPr>
      <w:r>
        <w:rPr>
          <w:bCs/>
          <w:b/>
        </w:rPr>
        <w:t xml:space="preserve">Retention Services (Retainers, Touch-Ups):</w:t>
      </w:r>
      <w:r>
        <w:t xml:space="preserve"> </w:t>
      </w:r>
      <w:r>
        <w:t xml:space="preserve">8% of revenue – critical for Seoul's high patient mobility (32% move districts annually).</w:t>
      </w:r>
    </w:p>
    <w:bookmarkEnd w:id="22"/>
    <w:bookmarkEnd w:id="23"/>
    <w:bookmarkStart w:id="26" w:name="seoul-specific-market-insights"/>
    <w:p>
      <w:pPr>
        <w:pStyle w:val="Heading2"/>
      </w:pPr>
      <w:r>
        <w:t xml:space="preserve">Seoul-Specific Market Insights</w:t>
      </w:r>
    </w:p>
    <w:p>
      <w:pPr>
        <w:pStyle w:val="FirstParagraph"/>
      </w:pPr>
      <w:r>
        <w:t xml:space="preserve">Our analysis reveals three pivotal factors differentiating successful orthodontic practices in South Korea Seoul:</w:t>
      </w:r>
    </w:p>
    <w:bookmarkStart w:id="24" w:name="X36651002cd6248e8e60f4fc6170d2c3c80a8fe3"/>
    <w:p>
      <w:pPr>
        <w:pStyle w:val="Heading3"/>
      </w:pPr>
      <w:r>
        <w:t xml:space="preserve">Seoul-Specific Insight #1: The "Gangnam Effect"</w:t>
      </w:r>
    </w:p>
    <w:p>
      <w:pPr>
        <w:pStyle w:val="FirstParagraph"/>
      </w:pPr>
      <w:r>
        <w:t xml:space="preserve">Patient acquisition in Gangnam (Seoul's premium district) requires luxury service design. Our new lounge with complimentary banchan meals and private consultation rooms increased conversion rates by 27% versus standard clinics. This reflects Seoul's cultural emphasis on service hospitality ("jeong") as a core purchase driver.</w:t>
      </w:r>
    </w:p>
    <w:bookmarkEnd w:id="24"/>
    <w:bookmarkStart w:id="25" w:name="Xf9f11693a20818c718b0aa2acba9a79f6e33545"/>
    <w:p>
      <w:pPr>
        <w:pStyle w:val="Heading3"/>
      </w:pPr>
      <w:r>
        <w:t xml:space="preserve">Seoul-Specific Insight #2: School Calendar Synergy</w:t>
      </w:r>
    </w:p>
    <w:p>
      <w:pPr>
        <w:pStyle w:val="FirstParagraph"/>
      </w:pPr>
      <w:r>
        <w:t xml:space="preserve">Orthodontic treatment cycles must align with Seoul's academic calendar. We launched a "Summer Smiles Program" during school breaks (July-August), capturing 61% of annual new patients. This contrasts with the national average of 45% – demonstrating hyper-localized marketing efficacy.</w:t>
      </w:r>
    </w:p>
    <w:bookmarkEnd w:id="25"/>
    <w:bookmarkEnd w:id="26"/>
    <w:bookmarkStart w:id="27" w:name="X73bb10eafb3f01ad2052125b459dde6a9f9d6f6"/>
    <w:p>
      <w:pPr>
        <w:pStyle w:val="Heading2"/>
      </w:pPr>
      <w:r>
        <w:t xml:space="preserve">Competitive Positioning in South Korea Seoul</w:t>
      </w:r>
    </w:p>
    <w:p>
      <w:pPr>
        <w:pStyle w:val="FirstParagraph"/>
      </w:pPr>
      <w:r>
        <w:t xml:space="preserve">Seoul's orthodontic landscape features three dominant segments:</w:t>
      </w:r>
    </w:p>
    <w:p>
      <w:pPr>
        <w:numPr>
          <w:ilvl w:val="0"/>
          <w:numId w:val="1003"/>
        </w:numPr>
        <w:pStyle w:val="Compact"/>
      </w:pPr>
      <w:r>
        <w:rPr>
          <w:bCs/>
          <w:b/>
        </w:rPr>
        <w:t xml:space="preserve">National Chains (e.g., Smile One, Ortho Plus):</w:t>
      </w:r>
      <w:r>
        <w:t xml:space="preserve"> </w:t>
      </w:r>
      <w:r>
        <w:t xml:space="preserve">Dominating volume with 50% market share but lower patient retention rates (68%).</w:t>
      </w:r>
    </w:p>
    <w:p>
      <w:pPr>
        <w:numPr>
          <w:ilvl w:val="0"/>
          <w:numId w:val="1003"/>
        </w:numPr>
        <w:pStyle w:val="Compact"/>
      </w:pPr>
      <w:r>
        <w:rPr>
          <w:bCs/>
          <w:b/>
        </w:rPr>
        <w:t xml:space="preserve">University Hospital Programs:</w:t>
      </w:r>
      <w:r>
        <w:t xml:space="preserve"> </w:t>
      </w:r>
      <w:r>
        <w:t xml:space="preserve">High credibility but long wait times (&gt;3 months), capturing only 22% of patients seeking specialized care.</w:t>
      </w:r>
    </w:p>
    <w:p>
      <w:pPr>
        <w:numPr>
          <w:ilvl w:val="0"/>
          <w:numId w:val="1003"/>
        </w:numPr>
        <w:pStyle w:val="Compact"/>
      </w:pPr>
      <w:r>
        <w:rPr>
          <w:bCs/>
          <w:b/>
        </w:rPr>
        <w:t xml:space="preserve">Niche Independent Practices (Our Model):</w:t>
      </w:r>
      <w:r>
        <w:t xml:space="preserve"> </w:t>
      </w:r>
      <w:r>
        <w:t xml:space="preserve">Focused on personalized service and technology, achieving 85% patient retention through Seoul-specific relationship management.</w:t>
      </w:r>
    </w:p>
    <w:p>
      <w:pPr>
        <w:pStyle w:val="FirstParagraph"/>
      </w:pPr>
      <w:r>
        <w:t xml:space="preserve">In Q3, our practice outperformed the Seoul market average in key metrics: 21% higher treatment completion rate, 34% lower no-show rates (vs. industry avg. of 26%), and a Net Promoter Score (NPS) of +72 (vs. Seoul avg. of +54).</w:t>
      </w:r>
    </w:p>
    <w:bookmarkEnd w:id="27"/>
    <w:bookmarkStart w:id="28" w:name="Xa9e778c417cb6d659418ec24a20bd90256a69ed"/>
    <w:p>
      <w:pPr>
        <w:pStyle w:val="Heading2"/>
      </w:pPr>
      <w:r>
        <w:t xml:space="preserve">Strategic Recommendations for South Korea Seoul Market</w:t>
      </w:r>
    </w:p>
    <w:p>
      <w:pPr>
        <w:pStyle w:val="FirstParagraph"/>
      </w:pPr>
      <w:r>
        <w:t xml:space="preserve">Based on this Sales Report, we recommend:</w:t>
      </w:r>
    </w:p>
    <w:p>
      <w:pPr>
        <w:numPr>
          <w:ilvl w:val="0"/>
          <w:numId w:val="1004"/>
        </w:numPr>
        <w:pStyle w:val="Compact"/>
      </w:pPr>
      <w:r>
        <w:rPr>
          <w:bCs/>
          <w:b/>
        </w:rPr>
        <w:t xml:space="preserve">Expand Digital Twin Technology:</w:t>
      </w:r>
      <w:r>
        <w:t xml:space="preserve"> </w:t>
      </w:r>
      <w:r>
        <w:t xml:space="preserve">Implement AI-powered 3D treatment simulators (already piloted in 40% of cases) to capture the premium market segment growing at 29% CAGR in Seoul.</w:t>
      </w:r>
    </w:p>
    <w:p>
      <w:pPr>
        <w:numPr>
          <w:ilvl w:val="0"/>
          <w:numId w:val="1004"/>
        </w:numPr>
        <w:pStyle w:val="Compact"/>
      </w:pPr>
      <w:r>
        <w:rPr>
          <w:bCs/>
          <w:b/>
        </w:rPr>
        <w:t xml:space="preserve">Leverage KakaoTalk Integration:</w:t>
      </w:r>
      <w:r>
        <w:t xml:space="preserve"> </w:t>
      </w:r>
      <w:r>
        <w:t xml:space="preserve">Develop automated appointment reminders and post-visit check-ins via Korea's dominant messaging platform, reducing no-shows by projected 15-18%.</w:t>
      </w:r>
    </w:p>
    <w:p>
      <w:pPr>
        <w:numPr>
          <w:ilvl w:val="0"/>
          <w:numId w:val="1004"/>
        </w:numPr>
        <w:pStyle w:val="Compact"/>
      </w:pPr>
      <w:r>
        <w:rPr>
          <w:bCs/>
          <w:b/>
        </w:rPr>
        <w:t xml:space="preserve">Partner with Seoul Schools:</w:t>
      </w:r>
      <w:r>
        <w:t xml:space="preserve"> </w:t>
      </w:r>
      <w:r>
        <w:t xml:space="preserve">Establish on-site dental screenings at top private schools (e.g., Seoul Foreign School) to build early patient relationships during critical decision-making years.</w:t>
      </w:r>
    </w:p>
    <w:p>
      <w:pPr>
        <w:numPr>
          <w:ilvl w:val="0"/>
          <w:numId w:val="1004"/>
        </w:numPr>
        <w:pStyle w:val="Compact"/>
      </w:pPr>
      <w:r>
        <w:rPr>
          <w:bCs/>
          <w:b/>
        </w:rPr>
        <w:t xml:space="preserve">Culturally Tailored Marketing:</w:t>
      </w:r>
      <w:r>
        <w:t xml:space="preserve"> </w:t>
      </w:r>
      <w:r>
        <w:t xml:space="preserve">Produce short-form video content featuring local Korean influencers discussing orthodontic journeys, addressing Seoul's aesthetic concerns through authentic cultural narratives.</w:t>
      </w:r>
    </w:p>
    <w:bookmarkEnd w:id="28"/>
    <w:bookmarkStart w:id="29" w:name="conclusion"/>
    <w:p>
      <w:pPr>
        <w:pStyle w:val="Heading2"/>
      </w:pPr>
      <w:r>
        <w:t xml:space="preserve">Conclusion</w:t>
      </w:r>
    </w:p>
    <w:p>
      <w:pPr>
        <w:pStyle w:val="FirstParagraph"/>
      </w:pPr>
      <w:r>
        <w:t xml:space="preserve">This Sales Report confirms that our orthodontic practice in South Korea Seoul has achieved sustainable market leadership through meticulous adaptation to local culture, technology adoption, and patient-centric service design. The 28% revenue growth during Q3 2024 validates our strategic investment in Seoul-specific operational excellence. Moving forward, we will prioritize expanding digital services while deepening community integration within key Seoul districts – ensuring continued dominance in South Korea's most competitive orthodontic market.</w:t>
      </w:r>
    </w:p>
    <w:p>
      <w:pPr>
        <w:pStyle w:val="BodyText"/>
      </w:pPr>
      <w:r>
        <w:t xml:space="preserve">With the Korean government's recent expansion of dental insurance coverage for adolescent orthodontics (effective 2025), Seoul represents an unprecedented growth opportunity. Our practice is positioned to capture 18-20% market share within Seoul by Q4 2025, driven by the actionable strategies outlined in this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Orthodontic Sales Performance Report - Q3 2024</dc:title>
  <dc:creator/>
  <dc:language>en</dc:language>
  <cp:keywords/>
  <dcterms:created xsi:type="dcterms:W3CDTF">2026-07-24T16:53:44Z</dcterms:created>
  <dcterms:modified xsi:type="dcterms:W3CDTF">2026-07-24T16:53:44Z</dcterms:modified>
</cp:coreProperties>
</file>

<file path=docProps/custom.xml><?xml version="1.0" encoding="utf-8"?>
<Properties xmlns="http://schemas.openxmlformats.org/officeDocument/2006/custom-properties" xmlns:vt="http://schemas.openxmlformats.org/officeDocument/2006/docPropsVTypes"/>
</file>