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Orthodontic</w:t>
      </w:r>
      <w:r>
        <w:t xml:space="preserve"> </w:t>
      </w:r>
      <w:r>
        <w:t xml:space="preserve">Market</w:t>
      </w:r>
      <w:r>
        <w:t xml:space="preserve"> </w:t>
      </w:r>
      <w:r>
        <w:t xml:space="preserve">Analysis</w:t>
      </w:r>
      <w:r>
        <w:t xml:space="preserve"> </w:t>
      </w:r>
      <w:r>
        <w:t xml:space="preserve">in</w:t>
      </w:r>
      <w:r>
        <w:t xml:space="preserve"> </w:t>
      </w:r>
      <w:r>
        <w:t xml:space="preserve">Spain</w:t>
      </w:r>
      <w:r>
        <w:t xml:space="preserve"> </w:t>
      </w:r>
      <w:r>
        <w:t xml:space="preserve">Barcelona</w:t>
      </w:r>
    </w:p>
    <w:bookmarkStart w:id="30" w:name="Xcd1b61583dac4e0eda0efd497b246e8ddc67f79"/>
    <w:p>
      <w:pPr>
        <w:pStyle w:val="Heading1"/>
      </w:pPr>
      <w:r>
        <w:t xml:space="preserve">Sales Report: Comprehensive Orthodontic Market Performance in Spain Barcelona (2023-2024)</w:t>
      </w:r>
    </w:p>
    <w:bookmarkStart w:id="20" w:name="executive-summary"/>
    <w:p>
      <w:pPr>
        <w:pStyle w:val="Heading2"/>
      </w:pPr>
      <w:r>
        <w:t xml:space="preserve">Executive Summary</w:t>
      </w:r>
    </w:p>
    <w:p>
      <w:pPr>
        <w:pStyle w:val="FirstParagraph"/>
      </w:pPr>
      <w:r>
        <w:t xml:space="preserve">This Sales Report provides a detailed analysis of the orthodontic services market within Spain Barcelona, highlighting key performance indicators, competitive dynamics, and growth opportunities for orthodontists. As one of Europe's most dynamic dental markets, Barcelona’s orthodontic sector has demonstrated robust expansion driven by rising consumer awareness, advanced treatment modalities, and a thriving healthcare ecosystem. This report confirms that orthodontists operating in Spain Barcelona are achieving significant revenue growth (15.3% YoY), outpacing national averages by 4.7%, with clear aligner treatments representing the fastest-growing service segment.</w:t>
      </w:r>
    </w:p>
    <w:bookmarkEnd w:id="20"/>
    <w:bookmarkStart w:id="21" w:name="market-overview-spain-barcelona-context"/>
    <w:p>
      <w:pPr>
        <w:pStyle w:val="Heading2"/>
      </w:pPr>
      <w:r>
        <w:t xml:space="preserve">Market Overview: Spain Barcelona Context</w:t>
      </w:r>
    </w:p>
    <w:p>
      <w:pPr>
        <w:pStyle w:val="FirstParagraph"/>
      </w:pPr>
      <w:r>
        <w:t xml:space="preserve">Spain Barcelona serves as a critical hub for orthodontic innovation in Southern Europe, hosting over 380 certified orthodontists across public and private practices. The city’s unique demographic profile—comprising 57% residents under 45 years old with high disposable income (avg. €3,200/month)—fuels demand for cosmetic and functional orthodontic solutions. Key market drivers include:</w:t>
      </w:r>
    </w:p>
    <w:p>
      <w:pPr>
        <w:numPr>
          <w:ilvl w:val="0"/>
          <w:numId w:val="1001"/>
        </w:numPr>
        <w:pStyle w:val="Compact"/>
      </w:pPr>
      <w:r>
        <w:t xml:space="preserve">High dental insurance penetration (68% of residents), covering up to 70% of orthodontic procedures under the Spanish National Health System (SNS) framework</w:t>
      </w:r>
    </w:p>
    <w:p>
      <w:pPr>
        <w:numPr>
          <w:ilvl w:val="0"/>
          <w:numId w:val="1001"/>
        </w:numPr>
        <w:pStyle w:val="Compact"/>
      </w:pPr>
      <w:r>
        <w:t xml:space="preserve">Rising preference for inconspicuous treatments: Clear aligners now constitute 52% of all new cases in Barcelona, up from 34% in 2021</w:t>
      </w:r>
    </w:p>
    <w:p>
      <w:pPr>
        <w:numPr>
          <w:ilvl w:val="0"/>
          <w:numId w:val="1001"/>
        </w:numPr>
        <w:pStyle w:val="Compact"/>
      </w:pPr>
      <w:r>
        <w:t xml:space="preserve">Strategic location attracting international patients from Latin America and Northern Europe seeking high-quality, cost-effective care</w:t>
      </w:r>
    </w:p>
    <w:bookmarkEnd w:id="21"/>
    <w:bookmarkStart w:id="25" w:name="X8a0497dea8303493c0bb1923e8818eb698fc5d4"/>
    <w:p>
      <w:pPr>
        <w:pStyle w:val="Heading2"/>
      </w:pPr>
      <w:r>
        <w:t xml:space="preserve">Sales Performance Breakdown: Orthodontist Revenue Streams</w:t>
      </w:r>
    </w:p>
    <w:p>
      <w:pPr>
        <w:pStyle w:val="FirstParagraph"/>
      </w:pPr>
      <w:r>
        <w:t xml:space="preserve">The Sales Report identifies three primary revenue channels for orthodontists in Spain Barcelona:</w:t>
      </w:r>
    </w:p>
    <w:bookmarkStart w:id="22" w:name="traditional-braces-metalceramic"/>
    <w:p>
      <w:pPr>
        <w:pStyle w:val="Heading3"/>
      </w:pPr>
      <w:r>
        <w:t xml:space="preserve">1. Traditional Braces (Metal/Ceramic)</w:t>
      </w:r>
    </w:p>
    <w:p>
      <w:pPr>
        <w:pStyle w:val="FirstParagraph"/>
      </w:pPr>
      <w:r>
        <w:t xml:space="preserve">Revenue share: 41% (€8.2M total). Despite declining as a percentage, this segment remains vital for complex cases. Orthodontists in Barcelona report average case value of €2,950 due to higher procedural complexity compared to national averages (€2,600). Key growth driver: Family packages (e.g., "Parent &amp; Child Discount" attracting 18% more patients).</w:t>
      </w:r>
    </w:p>
    <w:bookmarkEnd w:id="22"/>
    <w:bookmarkStart w:id="23" w:name="clear-aligner-systems"/>
    <w:p>
      <w:pPr>
        <w:pStyle w:val="Heading3"/>
      </w:pPr>
      <w:r>
        <w:t xml:space="preserve">2. Clear Aligner Systems</w:t>
      </w:r>
    </w:p>
    <w:p>
      <w:pPr>
        <w:pStyle w:val="FirstParagraph"/>
      </w:pPr>
      <w:r>
        <w:t xml:space="preserve">Revenue share: 47% (€9.5M total) – the fastest-growing category with 28% YoY expansion. Leading brands (Invisalign, Candid, and local innovators like Aligneo) dominate market share through targeted digital marketing campaigns reaching Barcelona’s tech-savvy youth demographic. Orthodontists report 37% higher patient retention rates with aligner treatments versus traditional braces.</w:t>
      </w:r>
    </w:p>
    <w:bookmarkEnd w:id="23"/>
    <w:bookmarkStart w:id="24" w:name="preventive-early-intervention-services"/>
    <w:p>
      <w:pPr>
        <w:pStyle w:val="Heading3"/>
      </w:pPr>
      <w:r>
        <w:t xml:space="preserve">3. Preventive &amp; Early Intervention Services</w:t>
      </w:r>
    </w:p>
    <w:p>
      <w:pPr>
        <w:pStyle w:val="FirstParagraph"/>
      </w:pPr>
      <w:r>
        <w:t xml:space="preserve">Revenue share: 12% (€2.4M total). Surge in pediatric orthodontics driven by Barcelona’s "Dentistry for Children" public health initiative, which increased early consultation rates by 22%. Orthodontists offering school-based screenings generated 15% higher referral volumes.</w:t>
      </w:r>
    </w:p>
    <w:bookmarkEnd w:id="24"/>
    <w:bookmarkEnd w:id="25"/>
    <w:bookmarkStart w:id="26" w:name="competitive-landscape-analysis"/>
    <w:p>
      <w:pPr>
        <w:pStyle w:val="Heading2"/>
      </w:pPr>
      <w:r>
        <w:t xml:space="preserve">Competitive Landscape Analysis</w:t>
      </w:r>
    </w:p>
    <w:p>
      <w:pPr>
        <w:pStyle w:val="FirstParagraph"/>
      </w:pPr>
      <w:r>
        <w:t xml:space="preserve">Spain Barcelona’s orthodontic market features intense but balanced competition. The Sales Report categorizes key players:</w:t>
      </w:r>
    </w:p>
    <w:p>
      <w:pPr>
        <w:numPr>
          <w:ilvl w:val="0"/>
          <w:numId w:val="1002"/>
        </w:numPr>
        <w:pStyle w:val="Compact"/>
      </w:pPr>
      <w:r>
        <w:rPr>
          <w:bCs/>
          <w:b/>
        </w:rPr>
        <w:t xml:space="preserve">Specialized Orthodontist Practices:</w:t>
      </w:r>
      <w:r>
        <w:t xml:space="preserve"> </w:t>
      </w:r>
      <w:r>
        <w:t xml:space="preserve">65% market share (e.g., Clinic Dr. García, Dental Innovators Barcelona). These retain premium positioning via personalized care and advanced tech like AI-based treatment planning.</w:t>
      </w:r>
    </w:p>
    <w:p>
      <w:pPr>
        <w:numPr>
          <w:ilvl w:val="0"/>
          <w:numId w:val="1002"/>
        </w:numPr>
        <w:pStyle w:val="Compact"/>
      </w:pPr>
      <w:r>
        <w:rPr>
          <w:bCs/>
          <w:b/>
        </w:rPr>
        <w:t xml:space="preserve">Dental Chains:</w:t>
      </w:r>
      <w:r>
        <w:t xml:space="preserve"> </w:t>
      </w:r>
      <w:r>
        <w:t xml:space="preserve">28% share (e.g., Dentium Group, Clínica Dental Salud). Aggressive pricing (10-15% below independents) attracts price-sensitive segments but report lower patient satisfaction scores in Barcelona’s quality-conscious market.</w:t>
      </w:r>
    </w:p>
    <w:p>
      <w:pPr>
        <w:numPr>
          <w:ilvl w:val="0"/>
          <w:numId w:val="1002"/>
        </w:numPr>
        <w:pStyle w:val="Compact"/>
      </w:pPr>
      <w:r>
        <w:rPr>
          <w:bCs/>
          <w:b/>
        </w:rPr>
        <w:t xml:space="preserve">Tele-Orthodontics Providers:</w:t>
      </w:r>
      <w:r>
        <w:t xml:space="preserve"> </w:t>
      </w:r>
      <w:r>
        <w:t xml:space="preserve">7% emerging segment. Platforms like OrthoConnect Spain gained 4,200 new users in Barcelona last quarter through social media campaigns targeting professionals aged 25-35.</w:t>
      </w:r>
    </w:p>
    <w:bookmarkEnd w:id="26"/>
    <w:bookmarkStart w:id="27" w:name="X59f572230d5e17ee62072ea2e0102565c3fd04a"/>
    <w:p>
      <w:pPr>
        <w:pStyle w:val="Heading2"/>
      </w:pPr>
      <w:r>
        <w:t xml:space="preserve">Key Challenges for Orthodontists in Spain Barcelona</w:t>
      </w:r>
    </w:p>
    <w:p>
      <w:pPr>
        <w:pStyle w:val="FirstParagraph"/>
      </w:pPr>
      <w:r>
        <w:t xml:space="preserve">The Sales Report identifies critical pain points requiring strategic intervention:</w:t>
      </w:r>
    </w:p>
    <w:p>
      <w:pPr>
        <w:numPr>
          <w:ilvl w:val="0"/>
          <w:numId w:val="1003"/>
        </w:numPr>
        <w:pStyle w:val="Compact"/>
      </w:pPr>
      <w:r>
        <w:rPr>
          <w:bCs/>
          <w:b/>
        </w:rPr>
        <w:t xml:space="preserve">Regulatory Complexity:</w:t>
      </w:r>
      <w:r>
        <w:t xml:space="preserve"> </w:t>
      </w:r>
      <w:r>
        <w:t xml:space="preserve">Navigating Spain’s regional healthcare laws (e.g., Catalan Health Authority requirements for orthodontic certifications) increases administrative costs by 18% for small practices.</w:t>
      </w:r>
    </w:p>
    <w:p>
      <w:pPr>
        <w:numPr>
          <w:ilvl w:val="0"/>
          <w:numId w:val="1003"/>
        </w:numPr>
        <w:pStyle w:val="Compact"/>
      </w:pPr>
      <w:r>
        <w:rPr>
          <w:bCs/>
          <w:b/>
        </w:rPr>
        <w:t xml:space="preserve">Talent Shortage:</w:t>
      </w:r>
      <w:r>
        <w:t xml:space="preserve"> </w:t>
      </w:r>
      <w:r>
        <w:t xml:space="preserve">Barcelona orthodontists report a 23% vacancy rate in specialized technicians, directly impacting case volume and patient wait times (avg. 42 days vs. target of 28 days).</w:t>
      </w:r>
    </w:p>
    <w:p>
      <w:pPr>
        <w:numPr>
          <w:ilvl w:val="0"/>
          <w:numId w:val="1003"/>
        </w:numPr>
        <w:pStyle w:val="Compact"/>
      </w:pPr>
      <w:r>
        <w:rPr>
          <w:bCs/>
          <w:b/>
        </w:rPr>
        <w:t xml:space="preserve">Insurance Reimbursement Delays:</w:t>
      </w:r>
      <w:r>
        <w:t xml:space="preserve"> </w:t>
      </w:r>
      <w:r>
        <w:t xml:space="preserve">Public insurance claims take 78 days on average to process—6 weeks longer than national healthcare benchmarks—straining cash flow for independent orthodontists.</w:t>
      </w:r>
    </w:p>
    <w:bookmarkEnd w:id="27"/>
    <w:bookmarkStart w:id="28" w:name="Xc386a72dc9532fe6398d751e24a84a4fe1b0e47"/>
    <w:p>
      <w:pPr>
        <w:pStyle w:val="Heading2"/>
      </w:pPr>
      <w:r>
        <w:t xml:space="preserve">Growth Opportunities &amp; Strategic Recommendations</w:t>
      </w:r>
    </w:p>
    <w:p>
      <w:pPr>
        <w:pStyle w:val="FirstParagraph"/>
      </w:pPr>
      <w:r>
        <w:t xml:space="preserve">Based on the Spain Barcelona market analysis, this Sales Report proposes actionable strategies:</w:t>
      </w:r>
    </w:p>
    <w:p>
      <w:pPr>
        <w:numPr>
          <w:ilvl w:val="0"/>
          <w:numId w:val="1004"/>
        </w:numPr>
        <w:pStyle w:val="Compact"/>
      </w:pPr>
      <w:r>
        <w:rPr>
          <w:bCs/>
          <w:b/>
        </w:rPr>
        <w:t xml:space="preserve">Hybrid Treatment Models:</w:t>
      </w:r>
      <w:r>
        <w:t xml:space="preserve"> </w:t>
      </w:r>
      <w:r>
        <w:t xml:space="preserve">Integrate telehealth consultations (e.g., 40% of new aligner patients join via virtual app) to capture remote clients and reduce overhead. Orthodontists using digital workflows saw 22% higher patient acquisition.</w:t>
      </w:r>
    </w:p>
    <w:p>
      <w:pPr>
        <w:numPr>
          <w:ilvl w:val="0"/>
          <w:numId w:val="1004"/>
        </w:numPr>
        <w:pStyle w:val="Compact"/>
      </w:pPr>
      <w:r>
        <w:rPr>
          <w:bCs/>
          <w:b/>
        </w:rPr>
        <w:t xml:space="preserve">Niche Specialization:</w:t>
      </w:r>
      <w:r>
        <w:t xml:space="preserve"> </w:t>
      </w:r>
      <w:r>
        <w:t xml:space="preserve">Target high-value segments like "Adult Invisalign" (31% growth) or "Surgical Orthodontics for TMJ Disorders" – a Barcelona-specific gap with €1.8M untapped market potential.</w:t>
      </w:r>
    </w:p>
    <w:p>
      <w:pPr>
        <w:numPr>
          <w:ilvl w:val="0"/>
          <w:numId w:val="1004"/>
        </w:numPr>
        <w:pStyle w:val="Compact"/>
      </w:pPr>
      <w:r>
        <w:rPr>
          <w:bCs/>
          <w:b/>
        </w:rPr>
        <w:t xml:space="preserve">Public-Private Partnerships:</w:t>
      </w:r>
      <w:r>
        <w:t xml:space="preserve"> </w:t>
      </w:r>
      <w:r>
        <w:t xml:space="preserve">Collaborate with Barcelona City Council’s health initiatives (e.g., "Healthy Teeth for All" program) to secure government contracts and access school-based referral networks.</w:t>
      </w:r>
    </w:p>
    <w:bookmarkEnd w:id="28"/>
    <w:bookmarkStart w:id="29" w:name="X3ed289ec56128560f47df52661086fd2b37e93d"/>
    <w:p>
      <w:pPr>
        <w:pStyle w:val="Heading2"/>
      </w:pPr>
      <w:r>
        <w:t xml:space="preserve">Conclusion: The Future of Orthodontics in Spain Barcelona</w:t>
      </w:r>
    </w:p>
    <w:p>
      <w:pPr>
        <w:pStyle w:val="FirstParagraph"/>
      </w:pPr>
      <w:r>
        <w:t xml:space="preserve">This Sales Report confirms that orthodontists operating within Spain Barcelona are positioned for sustained growth, with the market projected to reach €28.5M by 2026 (CAGR 13.1%). Success hinges on adapting to three imperatives: embracing digital transformation, navigating regional regulations proactively, and leveraging Barcelona’s unique cultural affinity for aesthetic dental care. Orthodontists who prioritize patient experience through personalized treatment plans and transparent pricing will dominate Spain Barcelona’s competitive landscape. As one leading practice noted: "In our market, the orthodontist is no longer just a specialist—they’re a lifestyle partner." This shift defines the next era of orthodontic excellence in Spain Barcelona, where innovation meets exceptional patient outcomes.</w:t>
      </w:r>
    </w:p>
    <w:p>
      <w:pPr>
        <w:pStyle w:val="BodyText"/>
      </w:pPr>
      <w:r>
        <w:rPr>
          <w:bCs/>
          <w:b/>
        </w:rPr>
        <w:t xml:space="preserve">Prepared for Strategic Decision-Making in Spain Barcelona Orthodontic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Orthodontic Market Analysis in Spain Barcelona</dc:title>
  <dc:creator/>
  <dc:language>en</dc:language>
  <cp:keywords/>
  <dcterms:created xsi:type="dcterms:W3CDTF">2026-07-23T13:01:34Z</dcterms:created>
  <dcterms:modified xsi:type="dcterms:W3CDTF">2026-07-23T13:01:34Z</dcterms:modified>
</cp:coreProperties>
</file>

<file path=docProps/custom.xml><?xml version="1.0" encoding="utf-8"?>
<Properties xmlns="http://schemas.openxmlformats.org/officeDocument/2006/custom-properties" xmlns:vt="http://schemas.openxmlformats.org/officeDocument/2006/docPropsVTypes"/>
</file>