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27" w:name="Xdea6385848d0a0b69243a0c27151e987728237f"/>
    <w:p>
      <w:pPr>
        <w:pStyle w:val="Heading1"/>
      </w:pPr>
      <w:r>
        <w:t xml:space="preserve">Orthodontic Sales Performance Report: Spain Madrid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Orthodontic Practice Network</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orthodontic practices across Madrid, Spain during Q3 2023. The Madrid market demonstrated robust growth in patient acquisition and treatment completion rates, driven by increased demand for aesthetic orthodontics and strategic digital marketing initiatives. Total sales revenue reached €1,875,000 across our network of 14 clinics operating within the Madrid metropolitan area, marking a 12.3% year-over-year increase. This report provides critical insights for optimizing future Sales strategies specifically tailored to the unique dynamics of the Spain Madrid orthodontic landscape.</w:t>
      </w:r>
    </w:p>
    <w:bookmarkEnd w:id="20"/>
    <w:bookmarkStart w:id="21" w:name="X761fc64e2e0251dfdc63ab5de3d3b5d12ccbf9a"/>
    <w:p>
      <w:pPr>
        <w:pStyle w:val="Heading2"/>
      </w:pPr>
      <w:r>
        <w:t xml:space="preserve">II. Market Overview: Spain Madrid Orthodontic Demand</w:t>
      </w:r>
    </w:p>
    <w:p>
      <w:pPr>
        <w:pStyle w:val="FirstParagraph"/>
      </w:pPr>
      <w:r>
        <w:t xml:space="preserve">Madrid remains the undisputed hub for advanced orthodontic care in Spain, housing approximately 35% of all certified Orthodontists in the country. The city's affluent demographic (with a median household income 18% above the national average) and strong emphasis on cosmetic dentistry fuel consistent market expansion. Recent data from the Spanish Dental Association (2023) indicates that Madrid residents account for 42% of all orthodontic treatments booked nationally, with clear aligner systems growing at a compound annual rate of 24% in our region.</w:t>
      </w:r>
    </w:p>
    <w:p>
      <w:pPr>
        <w:pStyle w:val="BodyText"/>
      </w:pPr>
      <w:r>
        <w:t xml:space="preserve">Key regional trends impacting our Sales Report include:</w:t>
      </w:r>
    </w:p>
    <w:p>
      <w:pPr>
        <w:numPr>
          <w:ilvl w:val="0"/>
          <w:numId w:val="1001"/>
        </w:numPr>
        <w:pStyle w:val="Compact"/>
      </w:pPr>
      <w:r>
        <w:rPr>
          <w:bCs/>
          <w:b/>
        </w:rPr>
        <w:t xml:space="preserve">Shift to Aesthetic Solutions:</w:t>
      </w:r>
      <w:r>
        <w:t xml:space="preserve"> </w:t>
      </w:r>
      <w:r>
        <w:t xml:space="preserve">68% of new patient consultations in Madrid now prioritize clear aligners (Invisalign, Candid) over traditional metal braces, a trend exceeding the national average by 15%.</w:t>
      </w:r>
    </w:p>
    <w:p>
      <w:pPr>
        <w:numPr>
          <w:ilvl w:val="0"/>
          <w:numId w:val="1001"/>
        </w:numPr>
        <w:pStyle w:val="Compact"/>
      </w:pPr>
      <w:r>
        <w:rPr>
          <w:bCs/>
          <w:b/>
        </w:rPr>
        <w:t xml:space="preserve">Family-Centric Marketing:</w:t>
      </w:r>
      <w:r>
        <w:t xml:space="preserve"> </w:t>
      </w:r>
      <w:r>
        <w:t xml:space="preserve">Successful clinics in Madrid's premium districts (Salamanca, Chamartín) report 30% higher conversion from family referrals.</w:t>
      </w:r>
    </w:p>
    <w:p>
      <w:pPr>
        <w:numPr>
          <w:ilvl w:val="0"/>
          <w:numId w:val="1001"/>
        </w:numPr>
        <w:pStyle w:val="Compact"/>
      </w:pPr>
      <w:r>
        <w:rPr>
          <w:bCs/>
          <w:b/>
        </w:rPr>
        <w:t xml:space="preserve">Digital Adoption:</w:t>
      </w:r>
      <w:r>
        <w:t xml:space="preserve"> </w:t>
      </w:r>
      <w:r>
        <w:t xml:space="preserve">Madrid-based Orthodontists leveraging teleconsultation platforms saw a 22% increase in initial consultations compared to traditional practices.</w:t>
      </w:r>
    </w:p>
    <w:bookmarkEnd w:id="21"/>
    <w:bookmarkStart w:id="22" w:name="Xe23f33283fb10111f5ee3d144a1c9e5839f587e"/>
    <w:p>
      <w:pPr>
        <w:pStyle w:val="Heading2"/>
      </w:pPr>
      <w:r>
        <w:t xml:space="preserve">III. Q3 2023 Sales Performance Breakdown (Spain Madrid Focus)</w:t>
      </w:r>
    </w:p>
    <w:p>
      <w:pPr>
        <w:pStyle w:val="FirstParagraph"/>
      </w:pPr>
      <w:r>
        <w:t xml:space="preserve">All figures represent total sales from orthodontic services (diagnostics, treatment plans, appliance fittings, follow-ups) across our Madrid network:</w:t>
      </w:r>
    </w:p>
    <w:p>
      <w:pPr>
        <w:pStyle w:val="BodyText"/>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w:t>
      </w:r>
    </w:p>
    <w:p>
      <w:pPr>
        <w:pStyle w:val="BodyText"/>
      </w:pPr>
      <w:r>
        <w:t xml:space="preserve">1,875,000</w:t>
      </w:r>
    </w:p>
    <w:p>
      <w:pPr>
        <w:pStyle w:val="BodyText"/>
      </w:pPr>
      <w:r>
        <w:t xml:space="preserve">1,670,500</w:t>
      </w:r>
    </w:p>
    <w:p>
      <w:pPr>
        <w:pStyle w:val="BodyText"/>
      </w:pPr>
      <w:r>
        <w:t xml:space="preserve">+12.3%</w:t>
      </w:r>
    </w:p>
    <w:p>
      <w:pPr>
        <w:pStyle w:val="BodyText"/>
      </w:pPr>
      <w:r>
        <w:t xml:space="preserve">New Patient Consultations</w:t>
      </w:r>
    </w:p>
    <w:p>
      <w:pPr>
        <w:pStyle w:val="BodyText"/>
      </w:pPr>
      <w:r>
        <w:t xml:space="preserve">2,485</w:t>
      </w:r>
    </w:p>
    <w:p>
      <w:pPr>
        <w:pStyle w:val="BodyText"/>
      </w:pPr>
      <w:r>
        <w:t xml:space="preserve">2,150</w:t>
      </w:r>
    </w:p>
    <w:p>
      <w:pPr>
        <w:pStyle w:val="BodyText"/>
      </w:pPr>
      <w:r>
        <w:t xml:space="preserve">+15.6%</w:t>
      </w:r>
    </w:p>
    <w:p>
      <w:pPr>
        <w:pStyle w:val="BodyText"/>
      </w:pPr>
      <w:r>
        <w:t xml:space="preserve">Treatment Starts (New Cases)</w:t>
      </w:r>
    </w:p>
    <w:p>
      <w:pPr>
        <w:pStyle w:val="BodyText"/>
      </w:pPr>
      <w:r>
        <w:t xml:space="preserve">978</w:t>
      </w:r>
    </w:p>
    <w:p>
      <w:pPr>
        <w:pStyle w:val="BodyText"/>
      </w:pPr>
      <w:r>
        <w:t xml:space="preserve">832</w:t>
      </w:r>
    </w:p>
    <w:p>
      <w:pPr>
        <w:pStyle w:val="BodyText"/>
      </w:pPr>
      <w:r>
        <w:t xml:space="preserve">Orthodontic Sales Report: Madrid District Performance</w:t>
      </w:r>
    </w:p>
    <w:p>
      <w:pPr>
        <w:pStyle w:val="BodyText"/>
      </w:pPr>
      <w:r>
        <w:rPr>
          <w:bCs/>
          <w:b/>
        </w:rPr>
        <w:t xml:space="preserve">District-Specific Insights:</w:t>
      </w:r>
      <w:r>
        <w:t xml:space="preserve"> </w:t>
      </w:r>
      <w:r>
        <w:t xml:space="preserve">The Salamanca district led with 24% market share (€450,000 revenue), followed by Chamartín (21%) and Retiro (19%). These affluent zones demonstrated the highest adoption of premium clear aligner systems. Conversely, the eastern districts of San Blas-Canillejas saw strong growth in adolescent metal brace cases (+18%), indicating different demographic needs within Madrid's diverse market.</w:t>
      </w:r>
    </w:p>
    <w:bookmarkEnd w:id="22"/>
    <w:bookmarkStart w:id="23" w:name="Xb40ab81ada7a6c1a938ed1f8bb05d61895f28b3"/>
    <w:p>
      <w:pPr>
        <w:pStyle w:val="Heading2"/>
      </w:pPr>
      <w:r>
        <w:t xml:space="preserve">IV. Competitive Analysis: Madrid Orthodontic Landscape</w:t>
      </w:r>
    </w:p>
    <w:p>
      <w:pPr>
        <w:pStyle w:val="FirstParagraph"/>
      </w:pPr>
      <w:r>
        <w:t xml:space="preserve">Our Sales Report confirms that the Spain Madrid orthodontic sector is highly competitive, with over 450 registered Orthodontists practicing across the city. Key competitive differentiators observed in Q3 include:</w:t>
      </w:r>
    </w:p>
    <w:p>
      <w:pPr>
        <w:numPr>
          <w:ilvl w:val="0"/>
          <w:numId w:val="1002"/>
        </w:numPr>
        <w:pStyle w:val="Compact"/>
      </w:pPr>
      <w:r>
        <w:rPr>
          <w:bCs/>
          <w:b/>
        </w:rPr>
        <w:t xml:space="preserve">Technology Integration:</w:t>
      </w:r>
      <w:r>
        <w:t xml:space="preserve"> </w:t>
      </w:r>
      <w:r>
        <w:t xml:space="preserve">Clinics offering 3D intraoral scanners (e.g., iTero) achieved a 27% higher conversion rate from consultation to treatment start in Madrid.</w:t>
      </w:r>
    </w:p>
    <w:p>
      <w:pPr>
        <w:numPr>
          <w:ilvl w:val="0"/>
          <w:numId w:val="1002"/>
        </w:numPr>
        <w:pStyle w:val="Compact"/>
      </w:pPr>
      <w:r>
        <w:rPr>
          <w:bCs/>
          <w:b/>
        </w:rPr>
        <w:t xml:space="preserve">Pricing Strategy:</w:t>
      </w:r>
      <w:r>
        <w:t xml:space="preserve"> </w:t>
      </w:r>
      <w:r>
        <w:t xml:space="preserve">Tiered payment plans (with interest-free options) drove a 19% increase in treatment starts among patients aged 18-35 in Madrid, the fastest-growing demographic segment.</w:t>
      </w:r>
    </w:p>
    <w:p>
      <w:pPr>
        <w:numPr>
          <w:ilvl w:val="0"/>
          <w:numId w:val="1002"/>
        </w:numPr>
        <w:pStyle w:val="Compact"/>
      </w:pPr>
      <w:r>
        <w:rPr>
          <w:bCs/>
          <w:b/>
        </w:rPr>
        <w:t xml:space="preserve">Local Partnerships:</w:t>
      </w:r>
      <w:r>
        <w:t xml:space="preserve"> </w:t>
      </w:r>
      <w:r>
        <w:t xml:space="preserve">Collaborations with top Madrid universities (Autónoma, Complutense) and corporate wellness programs significantly boosted patient volume for participating practices.</w:t>
      </w:r>
    </w:p>
    <w:p>
      <w:pPr>
        <w:pStyle w:val="FirstParagraph"/>
      </w:pPr>
      <w:r>
        <w:t xml:space="preserve">Notably, clinics in Madrid that implemented localized social media campaigns (targeting neighborhoods like La Latina and Huertas) saw a 35% higher organic reach compared to national campaigns – underscoring the critical need for hyperlocal marketing within Spain's Madrid orthodontic market.</w:t>
      </w:r>
    </w:p>
    <w:bookmarkEnd w:id="23"/>
    <w:bookmarkStart w:id="24" w:name="Xf849a44de82d7f9b23cac668997c4207e5988cc"/>
    <w:p>
      <w:pPr>
        <w:pStyle w:val="Heading2"/>
      </w:pPr>
      <w:r>
        <w:t xml:space="preserve">V. Key Challenges &amp; Strategic Recommendations</w:t>
      </w:r>
    </w:p>
    <w:p>
      <w:pPr>
        <w:pStyle w:val="FirstParagraph"/>
      </w:pPr>
      <w:r>
        <w:t xml:space="preserve">This Sales Report identifies two primary challenges requiring immediate action in Spain Madrid:</w:t>
      </w:r>
    </w:p>
    <w:p>
      <w:pPr>
        <w:numPr>
          <w:ilvl w:val="0"/>
          <w:numId w:val="1003"/>
        </w:numPr>
        <w:pStyle w:val="Compact"/>
      </w:pPr>
      <w:r>
        <w:rPr>
          <w:bCs/>
          <w:b/>
        </w:rPr>
        <w:t xml:space="preserve">Staffing Shortages:</w:t>
      </w:r>
      <w:r>
        <w:t xml:space="preserve"> </w:t>
      </w:r>
      <w:r>
        <w:t xml:space="preserve">78% of Madrid Orthodontists report difficulty retaining skilled orthodontic assistants, leading to appointment delays. *Recommendation: Establish a dedicated recruitment partnership with Madrid's Dental Technician Schools (e.g., Escuela de Odontología San Pablo) and offer competitive relocation packages for qualified professionals.</w:t>
      </w:r>
    </w:p>
    <w:p>
      <w:pPr>
        <w:numPr>
          <w:ilvl w:val="0"/>
          <w:numId w:val="1003"/>
        </w:numPr>
        <w:pStyle w:val="Compact"/>
      </w:pPr>
      <w:r>
        <w:rPr>
          <w:bCs/>
          <w:b/>
        </w:rPr>
        <w:t xml:space="preserve">Price Sensitivity:</w:t>
      </w:r>
      <w:r>
        <w:t xml:space="preserve"> </w:t>
      </w:r>
      <w:r>
        <w:t xml:space="preserve">Despite premium positioning, 28% of potential patients in lower-income Madrid districts (e.g., Ciudad Lineal) cited cost as the primary barrier. *Recommendation: Develop a "Madrid Community Access" tier with flexible payment plans, targeting public schools for health education outreach.</w:t>
      </w:r>
    </w:p>
    <w:bookmarkEnd w:id="24"/>
    <w:bookmarkStart w:id="25" w:name="X61779b7c3e2e3d07f09e599939bc0a19cdeb1b7"/>
    <w:p>
      <w:pPr>
        <w:pStyle w:val="Heading2"/>
      </w:pPr>
      <w:r>
        <w:t xml:space="preserve">VI. Future Outlook: Spain Madrid Orthodontic Sales Projections</w:t>
      </w:r>
    </w:p>
    <w:p>
      <w:pPr>
        <w:pStyle w:val="FirstParagraph"/>
      </w:pPr>
      <w:r>
        <w:t xml:space="preserve">Based on current momentum and market trends, we project the Madrid orthodontic market to grow at 14% annually through 2025. Key drivers include:</w:t>
      </w:r>
    </w:p>
    <w:p>
      <w:pPr>
        <w:numPr>
          <w:ilvl w:val="0"/>
          <w:numId w:val="1004"/>
        </w:numPr>
        <w:pStyle w:val="Compact"/>
      </w:pPr>
      <w:r>
        <w:t xml:space="preserve">Expansion of private insurance coverage for cosmetic orthodontics in Madrid (now covering 38% of cases, up from 26% in Q1 2023).</w:t>
      </w:r>
    </w:p>
    <w:p>
      <w:pPr>
        <w:numPr>
          <w:ilvl w:val="0"/>
          <w:numId w:val="1004"/>
        </w:numPr>
        <w:pStyle w:val="Compact"/>
      </w:pPr>
      <w:r>
        <w:t xml:space="preserve">Continued rise of at-home aligner brands competing with traditional Orthodontist practices, necessitating enhanced patient education.</w:t>
      </w:r>
    </w:p>
    <w:p>
      <w:pPr>
        <w:numPr>
          <w:ilvl w:val="0"/>
          <w:numId w:val="1004"/>
        </w:numPr>
        <w:pStyle w:val="Compact"/>
      </w:pPr>
      <w:r>
        <w:t xml:space="preserve">Predicted surge in "dental tourism" from Northern Europe to Madrid's premium clinics (projected +35% by 2024).</w:t>
      </w:r>
    </w:p>
    <w:p>
      <w:pPr>
        <w:pStyle w:val="FirstParagraph"/>
      </w:pPr>
      <w:r>
        <w:t xml:space="preserve">Our Sales strategy for Q1 2024 must prioritize:</w:t>
      </w:r>
    </w:p>
    <w:p>
      <w:pPr>
        <w:numPr>
          <w:ilvl w:val="0"/>
          <w:numId w:val="1005"/>
        </w:numPr>
        <w:pStyle w:val="Compact"/>
      </w:pPr>
      <w:r>
        <w:t xml:space="preserve">Implementing a unified digital patient journey platform across all Spain Madrid clinics.</w:t>
      </w:r>
    </w:p>
    <w:p>
      <w:pPr>
        <w:numPr>
          <w:ilvl w:val="0"/>
          <w:numId w:val="1005"/>
        </w:numPr>
        <w:pStyle w:val="Compact"/>
      </w:pPr>
      <w:r>
        <w:t xml:space="preserve">Launching "Madrid Smile Ambassador" program to leverage local influencer partnerships (focusing on family-focused Madrid social media accounts).</w:t>
      </w:r>
    </w:p>
    <w:p>
      <w:pPr>
        <w:numPr>
          <w:ilvl w:val="0"/>
          <w:numId w:val="1005"/>
        </w:numPr>
        <w:pStyle w:val="Compact"/>
      </w:pPr>
      <w:r>
        <w:t xml:space="preserve">Introducing specialized treatment packages for high-demand demographics (e.g., "University Student Clear Aligner Plan" for Complutense students).</w:t>
      </w:r>
    </w:p>
    <w:bookmarkEnd w:id="25"/>
    <w:bookmarkStart w:id="26" w:name="vii.-conclusion"/>
    <w:p>
      <w:pPr>
        <w:pStyle w:val="Heading2"/>
      </w:pPr>
      <w:r>
        <w:t xml:space="preserve">VII. Conclusion</w:t>
      </w:r>
    </w:p>
    <w:p>
      <w:pPr>
        <w:pStyle w:val="FirstParagraph"/>
      </w:pPr>
      <w:r>
        <w:t xml:space="preserve">The Q3 2023 Sales Report confirms that the Orthodontist market in Spain Madrid remains exceptionally dynamic and profitable, with clear pathways for sustained growth. Success hinges on hyperlocal adaptation within the Madrid urban ecosystem, technological sophistication, and strategic pricing that resonates with Madrid's diverse socioeconomic segments. By executing our recommended actions – particularly those addressing staffing and localized access – we are positioned to capture 45% of the projected market growth in the Madrid region by Q3 2024. This Sales Report serves as the foundational document for our Q1 2024 operational strategy, ensuring all initiatives remain firmly anchored to Madrid's unique orthodontic marketplace demands.</w:t>
      </w:r>
    </w:p>
    <w:p>
      <w:pPr>
        <w:pStyle w:val="BodyText"/>
      </w:pPr>
      <w:r>
        <w:rPr>
          <w:bCs/>
          <w:b/>
        </w:rPr>
        <w:t xml:space="preserve">Prepared By:</w:t>
      </w:r>
      <w:r>
        <w:t xml:space="preserve"> </w:t>
      </w:r>
      <w:r>
        <w:t xml:space="preserve">Maria Gonzalez, Regional Sales Director</w:t>
      </w:r>
      <w:r>
        <w:br/>
      </w:r>
      <w:r>
        <w:rPr>
          <w:bCs/>
          <w:b/>
        </w:rPr>
        <w:t xml:space="preserve">Orthodontic Practice Network | Madrid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Spain Madrid Market Analysis</dc:title>
  <dc:creator/>
  <cp:keywords/>
  <dcterms:created xsi:type="dcterms:W3CDTF">2026-07-21T02:57:42Z</dcterms:created>
  <dcterms:modified xsi:type="dcterms:W3CDTF">2026-07-21T02:57:42Z</dcterms:modified>
</cp:coreProperties>
</file>

<file path=docProps/custom.xml><?xml version="1.0" encoding="utf-8"?>
<Properties xmlns="http://schemas.openxmlformats.org/officeDocument/2006/custom-properties" xmlns:vt="http://schemas.openxmlformats.org/officeDocument/2006/docPropsVTypes"/>
</file>