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033425a145c6ff1a92043cd7944cd248a3246b0"/>
    <w:p>
      <w:pPr>
        <w:pStyle w:val="Heading1"/>
      </w:pPr>
      <w:r>
        <w:t xml:space="preserve">Comprehensive Sales Report: Orthodontic Services Performance in Thailand Bangkok - Q3 2023</w:t>
      </w:r>
    </w:p>
    <w:p>
      <w:pPr>
        <w:pStyle w:val="FirstParagraph"/>
      </w:pPr>
      <w:r>
        <w:rPr>
          <w:bCs/>
          <w:b/>
        </w:rPr>
        <w:t xml:space="preserve">Prepared For:</w:t>
      </w:r>
      <w:r>
        <w:t xml:space="preserve"> </w:t>
      </w:r>
      <w:r>
        <w:t xml:space="preserve">Executive Leadership, Southeast Asia Dental Group</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orthodontic division within the Thailand Bangkok market during Q3 2023. The Thailand Bangkok orthodontic sector demonstrated robust growth, with our practice achieving a 17% year-over-year increase in patient acquisitions and a 14% rise in overall revenue. This success underscores the strategic importance of focusing on high-demand services like clear aligners and early intervention programs within the competitive Thailand Bangkok dental landscape. Our dedicated Orthodontist team has been instrumental in driving these results through culturally attuned patient engagement strategies tailored specifically for the Bangkok demographic.</w:t>
      </w:r>
    </w:p>
    <w:bookmarkEnd w:id="20"/>
    <w:bookmarkStart w:id="21" w:name="ii.-thailand-bangkok-market-overview"/>
    <w:p>
      <w:pPr>
        <w:pStyle w:val="Heading2"/>
      </w:pPr>
      <w:r>
        <w:t xml:space="preserve">II. Thailand Bangkok Market Overview</w:t>
      </w:r>
    </w:p>
    <w:p>
      <w:pPr>
        <w:pStyle w:val="FirstParagraph"/>
      </w:pPr>
      <w:r>
        <w:t xml:space="preserve">Bangkok remains the undisputed epicenter of advanced dental care in Thailand, attracting both local patients and international medical tourists. According to recent Thai Ministry of Health data, orthodontic demand in Greater Bangkok has grown at 12% annually over the past five years. Key drivers include rising middle-class disposable income, increased health awareness among youth (ages 12-30), and the growing preference for aesthetic treatments in Thailand's urban centers. Our Sales Report highlights that Bangkok patients increasingly seek discreet, technologically advanced solutions – a trend our Orthodontist team has proactively addressed through expanded clear aligner offerings and digital smile design consultations.</w:t>
      </w:r>
    </w:p>
    <w:bookmarkEnd w:id="21"/>
    <w:bookmarkStart w:id="22" w:name="iii.-sales-performance-analysis-q3-2023"/>
    <w:p>
      <w:pPr>
        <w:pStyle w:val="Heading2"/>
      </w:pPr>
      <w:r>
        <w:t xml:space="preserve">III. Sales Performance Analysis (Q3 2023)</w:t>
      </w:r>
    </w:p>
    <w:p>
      <w:pPr>
        <w:pStyle w:val="FirstParagraph"/>
      </w:pPr>
      <w:r>
        <w:t xml:space="preserve">Service Type</w:t>
      </w:r>
    </w:p>
    <w:p>
      <w:pPr>
        <w:pStyle w:val="BodyText"/>
      </w:pPr>
      <w:r>
        <w:t xml:space="preserve">Patient Volume (Q3)</w:t>
      </w:r>
    </w:p>
    <w:p>
      <w:pPr>
        <w:pStyle w:val="BodyText"/>
      </w:pPr>
      <w:r>
        <w:t xml:space="preserve">% Change YoY</w:t>
      </w:r>
    </w:p>
    <w:p>
      <w:pPr>
        <w:pStyle w:val="BodyText"/>
      </w:pPr>
      <w:r>
        <w:t xml:space="preserve">Average Revenue per Patient (THB)</w:t>
      </w:r>
    </w:p>
    <w:p>
      <w:pPr>
        <w:pStyle w:val="BodyText"/>
      </w:pPr>
      <w:r>
        <w:t xml:space="preserve">Contribution to Total Sales</w:t>
      </w:r>
    </w:p>
    <w:p>
      <w:pPr>
        <w:pStyle w:val="BodyText"/>
      </w:pPr>
      <w:r>
        <w:t xml:space="preserve">Traditional Metal Braces</w:t>
      </w:r>
    </w:p>
    <w:p>
      <w:pPr>
        <w:pStyle w:val="BodyText"/>
      </w:pPr>
      <w:r>
        <w:t xml:space="preserve">148 patients</w:t>
      </w:r>
    </w:p>
    <w:p>
      <w:pPr>
        <w:pStyle w:val="BodyText"/>
      </w:pPr>
      <w:r>
        <w:t xml:space="preserve">+8%</w:t>
      </w:r>
    </w:p>
    <w:p>
      <w:pPr>
        <w:pStyle w:val="BodyText"/>
      </w:pPr>
      <w:r>
        <w:t xml:space="preserve">35,000 THB</w:t>
      </w:r>
    </w:p>
    <w:p>
      <w:pPr>
        <w:pStyle w:val="BodyText"/>
      </w:pPr>
      <w:r>
        <w:t xml:space="preserve">32%</w:t>
      </w:r>
    </w:p>
    <w:p>
      <w:pPr>
        <w:pStyle w:val="BodyText"/>
      </w:pPr>
      <w:r>
        <w:t xml:space="preserve">Clear Aligner Therapy (Invisalign &amp; Local Brands)</w:t>
      </w:r>
    </w:p>
    <w:p>
      <w:pPr>
        <w:pStyle w:val="BodyText"/>
      </w:pPr>
      <w:r>
        <w:t xml:space="preserve">192 patients</w:t>
      </w:r>
    </w:p>
    <w:p>
      <w:pPr>
        <w:pStyle w:val="BodyText"/>
      </w:pPr>
      <w:r>
        <w:t xml:space="preserve">+27%</w:t>
      </w:r>
    </w:p>
    <w:p>
      <w:pPr>
        <w:pStyle w:val="BodyText"/>
      </w:pPr>
      <w:r>
        <w:t xml:space="preserve">58,500 THB</w:t>
      </w:r>
    </w:p>
    <w:p>
      <w:pPr>
        <w:pStyle w:val="BodyText"/>
      </w:pPr>
      <w:r>
        <w:t xml:space="preserve">44%</w:t>
      </w:r>
    </w:p>
    <w:p>
      <w:pPr>
        <w:pStyle w:val="BodyText"/>
      </w:pPr>
      <w:r>
        <w:t xml:space="preserve">Pediatric Early Intervention</w:t>
      </w:r>
    </w:p>
    <w:p>
      <w:pPr>
        <w:pStyle w:val="BodyText"/>
      </w:pPr>
      <w:r>
        <w:t xml:space="preserve">63 patients</w:t>
      </w:r>
    </w:p>
    <w:p>
      <w:pPr>
        <w:pStyle w:val="BodyText"/>
      </w:pPr>
      <w:r>
        <w:t xml:space="preserve">+19%</w:t>
      </w:r>
    </w:p>
    <w:p>
      <w:pPr>
        <w:pStyle w:val="BodyText"/>
      </w:pPr>
      <w:r>
        <w:t xml:space="preserve">28,000 THB</w:t>
      </w:r>
    </w:p>
    <w:p>
      <w:pPr>
        <w:pStyle w:val="BodyText"/>
      </w:pPr>
      <w:r>
        <w:t xml:space="preserve">12%</w:t>
      </w:r>
    </w:p>
    <w:p>
      <w:pPr>
        <w:pStyle w:val="BodyText"/>
      </w:pPr>
      <w:r>
        <w:t xml:space="preserve">Total Orthodontic Sales (THB)</w:t>
      </w:r>
    </w:p>
    <w:p>
      <w:pPr>
        <w:pStyle w:val="BodyText"/>
      </w:pPr>
      <w:r>
        <w:t xml:space="preserve">7,852,500 THB</w:t>
      </w:r>
    </w:p>
    <w:p>
      <w:pPr>
        <w:pStyle w:val="BodyText"/>
      </w:pPr>
      <w:r>
        <w:t xml:space="preserve">The significant growth in Clear Aligner Therapy (+27% YoY) is a direct response to Bangkok's young professional market prioritizing aesthetics during social and workplace interactions – a critical insight from our Thailand Bangkok patient surveys. Our Orthodontist team's expertise in digital treatment planning directly contributed to this segment's outperformance, with 89% of aligner patients reporting satisfaction with their virtual smile previews.</w:t>
      </w:r>
    </w:p>
    <w:bookmarkEnd w:id="22"/>
    <w:bookmarkStart w:id="23" w:name="X3aba490990aec7b184c23668d55b404545e8c9b"/>
    <w:p>
      <w:pPr>
        <w:pStyle w:val="Heading2"/>
      </w:pPr>
      <w:r>
        <w:t xml:space="preserve">IV. Key Success Drivers for the Orthodontist Practice</w:t>
      </w:r>
    </w:p>
    <w:p>
      <w:pPr>
        <w:pStyle w:val="FirstParagraph"/>
      </w:pPr>
      <w:r>
        <w:t xml:space="preserve">Several strategic initiatives defined our strong Q3 performance in Thailand Bangkok:</w:t>
      </w:r>
    </w:p>
    <w:p>
      <w:pPr>
        <w:numPr>
          <w:ilvl w:val="0"/>
          <w:numId w:val="1001"/>
        </w:numPr>
        <w:pStyle w:val="Compact"/>
      </w:pPr>
      <w:r>
        <w:rPr>
          <w:bCs/>
          <w:b/>
        </w:rPr>
        <w:t xml:space="preserve">Cultural Competency Training:</w:t>
      </w:r>
      <w:r>
        <w:t xml:space="preserve"> </w:t>
      </w:r>
      <w:r>
        <w:t xml:space="preserve">All Orthodontist staff underwent specialized training in Thai communication protocols and patient expectations, significantly improving consultation conversion rates by 22%.</w:t>
      </w:r>
    </w:p>
    <w:p>
      <w:pPr>
        <w:numPr>
          <w:ilvl w:val="0"/>
          <w:numId w:val="1001"/>
        </w:numPr>
        <w:pStyle w:val="Compact"/>
      </w:pPr>
      <w:r>
        <w:rPr>
          <w:bCs/>
          <w:b/>
        </w:rPr>
        <w:t xml:space="preserve">Digital Marketing Focus:</w:t>
      </w:r>
      <w:r>
        <w:t xml:space="preserve"> </w:t>
      </w:r>
      <w:r>
        <w:t xml:space="preserve">Targeted social media campaigns on Facebook and LINE (the dominant Thai messaging app) featuring local success stories generated 35% of new leads – a channel specifically effective for Bangkok's digitally native population.</w:t>
      </w:r>
    </w:p>
    <w:p>
      <w:pPr>
        <w:numPr>
          <w:ilvl w:val="0"/>
          <w:numId w:val="1001"/>
        </w:numPr>
        <w:pStyle w:val="Compact"/>
      </w:pPr>
      <w:r>
        <w:rPr>
          <w:bCs/>
          <w:b/>
        </w:rPr>
        <w:t xml:space="preserve">Flexible Payment Plans:</w:t>
      </w:r>
      <w:r>
        <w:t xml:space="preserve"> </w:t>
      </w:r>
      <w:r>
        <w:t xml:space="preserve">Introduction of "Orthodontic Care Pay" installment plans (0% interest over 12 months), popularized by Thai consumer finance trends, increased patient acquisition in the 25-40 age bracket by 38%.</w:t>
      </w:r>
    </w:p>
    <w:p>
      <w:pPr>
        <w:numPr>
          <w:ilvl w:val="0"/>
          <w:numId w:val="1001"/>
        </w:numPr>
        <w:pStyle w:val="Compact"/>
      </w:pPr>
      <w:r>
        <w:rPr>
          <w:bCs/>
          <w:b/>
        </w:rPr>
        <w:t xml:space="preserve">Luxury Service Integration:</w:t>
      </w:r>
      <w:r>
        <w:t xml:space="preserve"> </w:t>
      </w:r>
      <w:r>
        <w:t xml:space="preserve">Partnering with Bangkok boutique hotels for complimentary "Smile &amp; Spa" packages (post-treatment relaxation) attracted high-net-worth clients seeking premium dental experiences, boosting average revenue per patient by 15%.</w:t>
      </w:r>
    </w:p>
    <w:bookmarkEnd w:id="23"/>
    <w:bookmarkStart w:id="24" w:name="v.-market-challenges-in-thailand-bangkok"/>
    <w:p>
      <w:pPr>
        <w:pStyle w:val="Heading2"/>
      </w:pPr>
      <w:r>
        <w:t xml:space="preserve">V. Market Challenges in Thailand Bangkok</w:t>
      </w:r>
    </w:p>
    <w:p>
      <w:pPr>
        <w:pStyle w:val="FirstParagraph"/>
      </w:pPr>
      <w:r>
        <w:t xml:space="preserve">Despite positive trends, our Sales Report identifies key challenges specific to the Thailand Bangkok orthodontic market:</w:t>
      </w:r>
    </w:p>
    <w:p>
      <w:pPr>
        <w:numPr>
          <w:ilvl w:val="0"/>
          <w:numId w:val="1002"/>
        </w:numPr>
        <w:pStyle w:val="Compact"/>
      </w:pPr>
      <w:r>
        <w:rPr>
          <w:bCs/>
          <w:b/>
        </w:rPr>
        <w:t xml:space="preserve">Price Sensitivity:</w:t>
      </w:r>
      <w:r>
        <w:t xml:space="preserve"> </w:t>
      </w:r>
      <w:r>
        <w:t xml:space="preserve">While premium services grew, 41% of price-inquiry patients cited cost as a barrier. This necessitates more aggressive tiered pricing strategies without compromising quality.</w:t>
      </w:r>
    </w:p>
    <w:p>
      <w:pPr>
        <w:numPr>
          <w:ilvl w:val="0"/>
          <w:numId w:val="1002"/>
        </w:numPr>
        <w:pStyle w:val="Compact"/>
      </w:pPr>
      <w:r>
        <w:rPr>
          <w:bCs/>
          <w:b/>
        </w:rPr>
        <w:t xml:space="preserve">Clinic Competition:</w:t>
      </w:r>
      <w:r>
        <w:t xml:space="preserve"> </w:t>
      </w:r>
      <w:r>
        <w:t xml:space="preserve">Bumrungrad International and Bangkok Hospital's orthodontic departments have intensified marketing efforts, particularly targeting the same corporate wellness programs we serve.</w:t>
      </w:r>
    </w:p>
    <w:p>
      <w:pPr>
        <w:numPr>
          <w:ilvl w:val="0"/>
          <w:numId w:val="1002"/>
        </w:numPr>
        <w:pStyle w:val="Compact"/>
      </w:pPr>
      <w:r>
        <w:rPr>
          <w:bCs/>
          <w:b/>
        </w:rPr>
        <w:t xml:space="preserve">Seasonal Demand Fluctuations:</w:t>
      </w:r>
      <w:r>
        <w:t xml:space="preserve"> </w:t>
      </w:r>
      <w:r>
        <w:t xml:space="preserve">Q3 typically sees 15% lower patient volume than Q4 due to Thai school vacation periods – a pattern requiring proactive promotional campaigns during August and September.</w:t>
      </w:r>
    </w:p>
    <w:bookmarkEnd w:id="24"/>
    <w:bookmarkStart w:id="25" w:name="X43fa305388faefecabaeb8411acca7ef568b45e"/>
    <w:p>
      <w:pPr>
        <w:pStyle w:val="Heading2"/>
      </w:pPr>
      <w:r>
        <w:t xml:space="preserve">VI. Strategic Recommendations for Next Quarter</w:t>
      </w:r>
    </w:p>
    <w:p>
      <w:pPr>
        <w:pStyle w:val="FirstParagraph"/>
      </w:pPr>
      <w:r>
        <w:t xml:space="preserve">To sustain momentum in the Thailand Bangkok market, we recommend:</w:t>
      </w:r>
    </w:p>
    <w:p>
      <w:pPr>
        <w:numPr>
          <w:ilvl w:val="0"/>
          <w:numId w:val="1003"/>
        </w:numPr>
        <w:pStyle w:val="Compact"/>
      </w:pPr>
      <w:r>
        <w:rPr>
          <w:bCs/>
          <w:b/>
        </w:rPr>
        <w:t xml:space="preserve">Launch "Back-to-School" Orthodontic Package:</w:t>
      </w:r>
      <w:r>
        <w:t xml:space="preserve"> </w:t>
      </w:r>
      <w:r>
        <w:t xml:space="preserve">Target Thai students returning to campuses (October) with bundled services and extended payment terms.</w:t>
      </w:r>
    </w:p>
    <w:p>
      <w:pPr>
        <w:numPr>
          <w:ilvl w:val="0"/>
          <w:numId w:val="1003"/>
        </w:numPr>
        <w:pStyle w:val="Compact"/>
      </w:pPr>
      <w:r>
        <w:rPr>
          <w:bCs/>
          <w:b/>
        </w:rPr>
        <w:t xml:space="preserve">Expand Community Outreach:</w:t>
      </w:r>
      <w:r>
        <w:t xml:space="preserve"> </w:t>
      </w:r>
      <w:r>
        <w:t xml:space="preserve">Partner with 5 major Bangkok schools for free smile assessments to build future patient pipelines.</w:t>
      </w:r>
    </w:p>
    <w:p>
      <w:pPr>
        <w:numPr>
          <w:ilvl w:val="0"/>
          <w:numId w:val="1003"/>
        </w:numPr>
        <w:pStyle w:val="Compact"/>
      </w:pPr>
      <w:r>
        <w:rPr>
          <w:bCs/>
          <w:b/>
        </w:rPr>
        <w:t xml:space="preserve">Enhance Orthodontist Branding:</w:t>
      </w:r>
      <w:r>
        <w:t xml:space="preserve"> </w:t>
      </w:r>
      <w:r>
        <w:t xml:space="preserve">Feature our lead Orthodontist in Thai lifestyle magazines (e.g., "Suan Dusit") as a "Smile Specialist" – aligning with Thailand's celebrity culture.</w:t>
      </w:r>
    </w:p>
    <w:p>
      <w:pPr>
        <w:numPr>
          <w:ilvl w:val="0"/>
          <w:numId w:val="1003"/>
        </w:numPr>
        <w:pStyle w:val="Compact"/>
      </w:pPr>
      <w:r>
        <w:rPr>
          <w:bCs/>
          <w:b/>
        </w:rPr>
        <w:t xml:space="preserve">Implement AI-Powered Patient Retention:</w:t>
      </w:r>
      <w:r>
        <w:t xml:space="preserve"> </w:t>
      </w:r>
      <w:r>
        <w:t xml:space="preserve">Use Thai-language chatbots for post-appointment follow-ups, reducing no-show rates by an estimated 25% in the Bangkok market.</w:t>
      </w:r>
    </w:p>
    <w:bookmarkEnd w:id="25"/>
    <w:bookmarkStart w:id="26" w:name="vii.-conclusion"/>
    <w:p>
      <w:pPr>
        <w:pStyle w:val="Heading2"/>
      </w:pPr>
      <w:r>
        <w:t xml:space="preserve">VII. Conclusion</w:t>
      </w:r>
    </w:p>
    <w:p>
      <w:pPr>
        <w:pStyle w:val="FirstParagraph"/>
      </w:pPr>
      <w:r>
        <w:t xml:space="preserve">This Sales Report confirms that strategic investments in culturally responsive orthodontic care are yielding strong returns within Thailand Bangkok. Our Orthodontist team's commitment to patient-centered innovation has positioned us as a preferred provider for both aesthetic and functional orthodontics in Southeast Asia's most dynamic dental market. Moving forward, we will deepen our focus on digital transformation and community integration to capture greater market share while maintaining the exceptional clinical outcomes that define our practice. The Thailand Bangkok orthodontic sector continues to present extraordinary growth potential – this Sales Report provides the roadmap for capturing it sustainably.</w:t>
      </w:r>
    </w:p>
    <w:p>
      <w:pPr>
        <w:pStyle w:val="BodyText"/>
      </w:pPr>
      <w:r>
        <w:rPr>
          <w:bCs/>
          <w:b/>
        </w:rPr>
        <w:t xml:space="preserve">Appendix:</w:t>
      </w:r>
      <w:r>
        <w:t xml:space="preserve"> </w:t>
      </w:r>
      <w:r>
        <w:t xml:space="preserve">Full patient satisfaction survey data, Q3 marketing spend analysis, and competitor service pricing benchmarking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Performance Report: Thailand Bangkok Market Analysis</dc:title>
  <dc:creator/>
  <dc:language>en</dc:language>
  <cp:keywords/>
  <dcterms:created xsi:type="dcterms:W3CDTF">2026-07-23T20:30:42Z</dcterms:created>
  <dcterms:modified xsi:type="dcterms:W3CDTF">2026-07-23T20:30:42Z</dcterms:modified>
</cp:coreProperties>
</file>

<file path=docProps/custom.xml><?xml version="1.0" encoding="utf-8"?>
<Properties xmlns="http://schemas.openxmlformats.org/officeDocument/2006/custom-properties" xmlns:vt="http://schemas.openxmlformats.org/officeDocument/2006/docPropsVTypes"/>
</file>