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9" w:name="Xff0c3aa7eb72182435066dc2f84d3e5f97f5a04"/>
    <w:p>
      <w:pPr>
        <w:pStyle w:val="Heading1"/>
      </w:pPr>
      <w:r>
        <w:t xml:space="preserve">Comprehensive Orthodontic Sales Performance Report: Turkey Ankara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Orthodontic Practice Network</w:t>
      </w:r>
      <w:r>
        <w:br/>
      </w:r>
      <w:r>
        <w:rPr>
          <w:bCs/>
          <w:b/>
        </w:rPr>
        <w:t xml:space="preserve">Location Focus:</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performance metrics of our orthodontic practice network across Ankara, Turkey during Q3 2023. Despite economic fluctuations in Turkey's healthcare sector, our Ankara-based Orthodontist team achieved a 15% year-over-year growth in patient acquisition and secured a 92% client retention rate. The report confirms Ankara's position as Turkey's second-largest orthodontic market after Istanbul, with strategic investments in digital marketing and family-centric service models driving exceptional results. Our success demonstrates the viability of premium orthodontic care within Ankara's evolving healthcare landscape.</w:t>
      </w:r>
    </w:p>
    <w:bookmarkEnd w:id="20"/>
    <w:bookmarkStart w:id="21" w:name="X33732e3c3b33b37c76e1c717cb069d183ed1e94"/>
    <w:p>
      <w:pPr>
        <w:pStyle w:val="Heading2"/>
      </w:pPr>
      <w:r>
        <w:t xml:space="preserve">II. Market Context: Orthodontics in Turkey Ankara</w:t>
      </w:r>
    </w:p>
    <w:p>
      <w:pPr>
        <w:pStyle w:val="FirstParagraph"/>
      </w:pPr>
      <w:r>
        <w:t xml:space="preserve">Ankara, as Turkey's political and administrative hub, hosts a rapidly expanding middle-class population with increasing disposable income for cosmetic dental procedures. Recent Turkish Ministry of Health data indicates orthodontic service demand in Ankara has grown at 8.3% annually since 2019 – outpacing national averages. This growth is driven by: (1) Rising parental awareness of early intervention benefits, (2) Increasing insurance coverage for children's orthodontics through Turkey's Social Security Institution (SGK), and (3) Cultural shifts toward aesthetic dentistry among Ankara's urban youth.</w:t>
      </w:r>
    </w:p>
    <w:p>
      <w:pPr>
        <w:pStyle w:val="BodyText"/>
      </w:pPr>
      <w:r>
        <w:t xml:space="preserve">Our market analysis reveals that Ankara residents prioritize "invisible" solutions like clear aligners over traditional braces, with 68% of new patients requesting lingual or clear options – a 27% increase from last year. This trend directly influences our Sales Report strategy, as we've reallocated 35% of marketing budget toward digital campaigns highlighting invisible orthodontics in Ankara's competitive landscape.</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New Patient Acquisitions (Ankara)</w:t>
            </w:r>
          </w:p>
        </w:tc>
        <w:tc>
          <w:tcPr/>
          <w:p>
            <w:pPr>
              <w:pStyle w:val="Compact"/>
              <w:jc w:val="left"/>
            </w:pPr>
            <w:r>
              <w:t xml:space="preserve">147 patients</w:t>
            </w:r>
          </w:p>
        </w:tc>
        <w:tc>
          <w:tcPr/>
          <w:p>
            <w:pPr>
              <w:pStyle w:val="Compact"/>
              <w:jc w:val="left"/>
            </w:pPr>
            <w:r>
              <w:t xml:space="preserve">+15.2%</w:t>
            </w:r>
          </w:p>
        </w:tc>
        <w:tc>
          <w:tcPr/>
          <w:p>
            <w:pPr>
              <w:pStyle w:val="Compact"/>
              <w:jc w:val="left"/>
            </w:pPr>
            <w:r>
              <w:t xml:space="preserve">+12%</w:t>
            </w:r>
          </w:p>
        </w:tc>
      </w:tr>
      <w:tr>
        <w:tc>
          <w:tcPr/>
          <w:p>
            <w:pPr>
              <w:pStyle w:val="Compact"/>
              <w:jc w:val="left"/>
            </w:pPr>
            <w:r>
              <w:t xml:space="preserve">Revenue from Orthodontic Services</w:t>
            </w:r>
          </w:p>
        </w:tc>
        <w:tc>
          <w:tcPr/>
          <w:p>
            <w:pPr>
              <w:pStyle w:val="Compact"/>
              <w:jc w:val="left"/>
            </w:pPr>
            <w:r>
              <w:t xml:space="preserve">TLS 387,500</w:t>
            </w:r>
          </w:p>
        </w:tc>
        <w:tc>
          <w:tcPr/>
          <w:p>
            <w:pPr>
              <w:pStyle w:val="Compact"/>
              <w:jc w:val="left"/>
            </w:pPr>
            <w:r>
              <w:t xml:space="preserve">+18.6%</w:t>
            </w:r>
          </w:p>
        </w:tc>
        <w:tc>
          <w:tcPr/>
          <w:p>
            <w:pPr>
              <w:pStyle w:val="Compact"/>
              <w:jc w:val="left"/>
            </w:pPr>
            <w:r>
              <w:t xml:space="preserve">+TLS 342,000</w:t>
            </w:r>
          </w:p>
        </w:tc>
      </w:tr>
      <w:tr>
        <w:tc>
          <w:tcPr/>
          <w:p>
            <w:pPr>
              <w:pStyle w:val="Compact"/>
              <w:jc w:val="left"/>
            </w:pPr>
            <w:r>
              <w:t xml:space="preserve">Patient Retention Rate (Ankara)</w:t>
            </w:r>
          </w:p>
        </w:tc>
        <w:tc>
          <w:tcPr/>
          <w:p>
            <w:pPr>
              <w:pStyle w:val="Compact"/>
              <w:jc w:val="left"/>
            </w:pPr>
            <w:r>
              <w:t xml:space="preserve">92.1%</w:t>
            </w:r>
          </w:p>
        </w:tc>
        <w:tc>
          <w:tcPr/>
          <w:p>
            <w:pPr>
              <w:pStyle w:val="Compact"/>
              <w:jc w:val="left"/>
            </w:pPr>
            <w:r>
              <w:t xml:space="preserve">+5.7%</w:t>
            </w:r>
          </w:p>
        </w:tc>
        <w:tc>
          <w:tcPr/>
          <w:p>
            <w:pPr>
              <w:pStyle w:val="Compact"/>
              <w:jc w:val="left"/>
            </w:pPr>
            <w:r>
              <w:t xml:space="preserve">86.4%</w:t>
            </w:r>
          </w:p>
        </w:tc>
      </w:tr>
      <w:tr>
        <w:tc>
          <w:tcPr/>
          <w:p>
            <w:pPr>
              <w:pStyle w:val="Compact"/>
              <w:jc w:val="left"/>
            </w:pPr>
            <w:r>
              <w:t xml:space="preserve">Clear Aligner Adoption Rate</w:t>
            </w:r>
          </w:p>
        </w:tc>
        <w:tc>
          <w:tcPr/>
          <w:p>
            <w:pPr>
              <w:pStyle w:val="Compact"/>
              <w:jc w:val="left"/>
            </w:pPr>
            <w:r>
              <w:t xml:space="preserve">63% of new cases</w:t>
            </w:r>
          </w:p>
        </w:tc>
        <w:tc>
          <w:tcPr/>
          <w:p>
            <w:pPr>
              <w:pStyle w:val="Compact"/>
              <w:jc w:val="left"/>
            </w:pPr>
            <w:r>
              <w:t xml:space="preserve">+22.3%</w:t>
            </w:r>
          </w:p>
        </w:tc>
        <w:tc>
          <w:tcPr/>
          <w:p>
            <w:pPr>
              <w:pStyle w:val="Compact"/>
              <w:jc w:val="left"/>
            </w:pPr>
            <w:r>
              <w:t xml:space="preserve">41%</w:t>
            </w:r>
          </w:p>
        </w:tc>
      </w:tr>
      <w:tr>
        <w:tc>
          <w:tcPr/>
          <w:p>
            <w:pPr>
              <w:pStyle w:val="Compact"/>
              <w:jc w:val="left"/>
            </w:pPr>
            <w:r>
              <w:t xml:space="preserve">Social Media Lead Conversion</w:t>
            </w:r>
          </w:p>
        </w:tc>
        <w:tc>
          <w:tcPr/>
          <w:p>
            <w:pPr>
              <w:pStyle w:val="Compact"/>
              <w:jc w:val="left"/>
            </w:pPr>
            <w:r>
              <w:t xml:space="preserve">28.7%</w:t>
            </w:r>
          </w:p>
        </w:tc>
        <w:tc>
          <w:tcPr/>
          <w:p>
            <w:pPr>
              <w:pStyle w:val="Compact"/>
              <w:jc w:val="left"/>
            </w:pPr>
            <w:r>
              <w:t xml:space="preserve">+11.9%</w:t>
            </w:r>
          </w:p>
        </w:tc>
        <w:tc>
          <w:tcPr/>
          <w:p>
            <w:pPr>
              <w:pStyle w:val="Compact"/>
              <w:jc w:val="left"/>
            </w:pPr>
            <w:r>
              <w:t xml:space="preserve">16.8%</w:t>
            </w:r>
          </w:p>
        </w:tc>
      </w:tr>
    </w:tbl>
    <w:bookmarkEnd w:id="22"/>
    <w:bookmarkStart w:id="23" w:name="Xe6a290414fd7ad9f1c0e0cfa3f27abca64deff9"/>
    <w:p>
      <w:pPr>
        <w:pStyle w:val="Heading2"/>
      </w:pPr>
      <w:r>
        <w:t xml:space="preserve">IV. Orthodontist Service Portfolio Analysis</w:t>
      </w:r>
    </w:p>
    <w:p>
      <w:pPr>
        <w:pStyle w:val="FirstParagraph"/>
      </w:pPr>
      <w:r>
        <w:t xml:space="preserve">Our Ankara practice has strategically expanded the orthodontic service mix to align with local preferences:</w:t>
      </w:r>
    </w:p>
    <w:p>
      <w:pPr>
        <w:numPr>
          <w:ilvl w:val="0"/>
          <w:numId w:val="1001"/>
        </w:numPr>
        <w:pStyle w:val="Compact"/>
      </w:pPr>
      <w:r>
        <w:rPr>
          <w:bCs/>
          <w:b/>
        </w:rPr>
        <w:t xml:space="preserve">Paediatric Orthodontics (45% of cases):</w:t>
      </w:r>
      <w:r>
        <w:t xml:space="preserve"> </w:t>
      </w:r>
      <w:r>
        <w:t xml:space="preserve">Focused on early intervention for children aged 7-10, leveraging SGK coverage. This segment contributed 32% of total revenue with a 95% referral rate from local pediatricians across Ankara.</w:t>
      </w:r>
    </w:p>
    <w:p>
      <w:pPr>
        <w:numPr>
          <w:ilvl w:val="0"/>
          <w:numId w:val="1001"/>
        </w:numPr>
        <w:pStyle w:val="Compact"/>
      </w:pPr>
      <w:r>
        <w:rPr>
          <w:bCs/>
          <w:b/>
        </w:rPr>
        <w:t xml:space="preserve">Adult Invisible Solutions (42% of cases):</w:t>
      </w:r>
      <w:r>
        <w:t xml:space="preserve"> </w:t>
      </w:r>
      <w:r>
        <w:t xml:space="preserve">Clear aligner systems like Invisalign and lingual braces captured the premium market. We've established partnerships with Ankara's top corporate offices for employee wellness programs, resulting in 18 corporate contracts signed this quarter.</w:t>
      </w:r>
    </w:p>
    <w:p>
      <w:pPr>
        <w:numPr>
          <w:ilvl w:val="0"/>
          <w:numId w:val="1001"/>
        </w:numPr>
        <w:pStyle w:val="Compact"/>
      </w:pPr>
      <w:r>
        <w:rPr>
          <w:bCs/>
          <w:b/>
        </w:rPr>
        <w:t xml:space="preserve">Emergency Orthodontic Care (13% of cases):</w:t>
      </w:r>
      <w:r>
        <w:t xml:space="preserve"> </w:t>
      </w:r>
      <w:r>
        <w:t xml:space="preserve">Rapid-response service for broken brackets or appliance emergencies, operating 24/7 across Ankara. This high-margin segment grew by 29% due to enhanced mobile app scheduling.</w:t>
      </w:r>
    </w:p>
    <w:bookmarkEnd w:id="23"/>
    <w:bookmarkStart w:id="24" w:name="X9006363457733059238dc2359d89a7b8a3b73e2"/>
    <w:p>
      <w:pPr>
        <w:pStyle w:val="Heading2"/>
      </w:pPr>
      <w:r>
        <w:t xml:space="preserve">V. Customer Demographics &amp; Satisfaction Insights</w:t>
      </w:r>
    </w:p>
    <w:p>
      <w:pPr>
        <w:pStyle w:val="FirstParagraph"/>
      </w:pPr>
      <w:r>
        <w:t xml:space="preserve">Customer analysis reveals a distinct Ankara profile: 58% of patients are aged 16-34 (up from 47% in 2021), with working professionals comprising the largest segment (63%). Notable regional trends include:</w:t>
      </w:r>
    </w:p>
    <w:p>
      <w:pPr>
        <w:numPr>
          <w:ilvl w:val="0"/>
          <w:numId w:val="1002"/>
        </w:numPr>
        <w:pStyle w:val="Compact"/>
      </w:pPr>
      <w:r>
        <w:t xml:space="preserve">78% of patients in Çankaya and Kızılay districts prefer premium orthodontic services</w:t>
      </w:r>
    </w:p>
    <w:p>
      <w:pPr>
        <w:numPr>
          <w:ilvl w:val="0"/>
          <w:numId w:val="1002"/>
        </w:numPr>
        <w:pStyle w:val="Compact"/>
      </w:pPr>
      <w:r>
        <w:t xml:space="preserve">Lower-income areas like Sincan show strong demand for SGK-covered pediatric cases (41% of referrals)</w:t>
      </w:r>
    </w:p>
    <w:p>
      <w:pPr>
        <w:numPr>
          <w:ilvl w:val="0"/>
          <w:numId w:val="1002"/>
        </w:numPr>
        <w:pStyle w:val="Compact"/>
      </w:pPr>
      <w:r>
        <w:t xml:space="preserve">91% patient satisfaction rate with "personalized treatment planning" – a key differentiator from chain dental clinics in Ankara.</w:t>
      </w:r>
    </w:p>
    <w:p>
      <w:pPr>
        <w:pStyle w:val="FirstParagraph"/>
      </w:pPr>
      <w:r>
        <w:t xml:space="preserve">Our orthodontist team's emphasis on cultural sensitivity – including Turkish-language consultations and accommodating Ramadan scheduling – has significantly boosted community trust. Post-treatment surveys show 89% of patients would refer friends, directly supporting our Sales Report growth metrics.</w:t>
      </w:r>
    </w:p>
    <w:bookmarkEnd w:id="24"/>
    <w:bookmarkStart w:id="25" w:name="Xd69e4638872ea2c17fe3f93c13746487a7ec09e"/>
    <w:p>
      <w:pPr>
        <w:pStyle w:val="Heading2"/>
      </w:pPr>
      <w:r>
        <w:t xml:space="preserve">VI. Marketing Effectiveness in Turkey Ankara</w:t>
      </w:r>
    </w:p>
    <w:p>
      <w:pPr>
        <w:pStyle w:val="FirstParagraph"/>
      </w:pPr>
      <w:r>
        <w:t xml:space="preserve">The digital marketing strategy targeting Ankara's orthodontic market proved highly efficient:</w:t>
      </w:r>
    </w:p>
    <w:p>
      <w:pPr>
        <w:numPr>
          <w:ilvl w:val="0"/>
          <w:numId w:val="1003"/>
        </w:numPr>
        <w:pStyle w:val="Compact"/>
      </w:pPr>
      <w:r>
        <w:t xml:space="preserve">Instagram and TikTok campaigns using local influencers (Ankara-based beauty &amp; lifestyle creators) generated 57% of new leads at 40% lower cost-per-acquisition than traditional channels.</w:t>
      </w:r>
    </w:p>
    <w:p>
      <w:pPr>
        <w:numPr>
          <w:ilvl w:val="0"/>
          <w:numId w:val="1003"/>
        </w:numPr>
        <w:pStyle w:val="Compact"/>
      </w:pPr>
      <w:r>
        <w:t xml:space="preserve">Geo-targeted Google Ads focusing on "orthodontist Ankara" keywords achieved a 3.2x higher conversion rate versus citywide campaigns.</w:t>
      </w:r>
    </w:p>
    <w:p>
      <w:pPr>
        <w:numPr>
          <w:ilvl w:val="0"/>
          <w:numId w:val="1003"/>
        </w:numPr>
        <w:pStyle w:val="Compact"/>
      </w:pPr>
      <w:r>
        <w:t xml:space="preserve">Collaborations with Ankara University Dental School for student workshops increased brand recognition among young professionals by 65% in Q3.</w:t>
      </w:r>
    </w:p>
    <w:bookmarkEnd w:id="25"/>
    <w:bookmarkStart w:id="26" w:name="vii.-challenges-strategic-adaptations"/>
    <w:p>
      <w:pPr>
        <w:pStyle w:val="Heading2"/>
      </w:pPr>
      <w:r>
        <w:t xml:space="preserve">VII. Challenges &amp; Strategic Adaptations</w:t>
      </w:r>
    </w:p>
    <w:p>
      <w:pPr>
        <w:pStyle w:val="FirstParagraph"/>
      </w:pPr>
      <w:r>
        <w:t xml:space="preserve">Despite strong performance, we navigated key Turkey Ankara market challenges:</w:t>
      </w:r>
    </w:p>
    <w:p>
      <w:pPr>
        <w:numPr>
          <w:ilvl w:val="0"/>
          <w:numId w:val="1004"/>
        </w:numPr>
        <w:pStyle w:val="Compact"/>
      </w:pPr>
      <w:r>
        <w:rPr>
          <w:bCs/>
          <w:b/>
        </w:rPr>
        <w:t xml:space="preserve">Economic Volatility:</w:t>
      </w:r>
      <w:r>
        <w:t xml:space="preserve"> </w:t>
      </w:r>
      <w:r>
        <w:t xml:space="preserve">Currency fluctuations impacted material costs. We mitigated this by securing fixed-price contracts with Turkish dental suppliers and introducing payment plans (up to 12 months interest-free for locals).</w:t>
      </w:r>
    </w:p>
    <w:p>
      <w:pPr>
        <w:numPr>
          <w:ilvl w:val="0"/>
          <w:numId w:val="1004"/>
        </w:numPr>
        <w:pStyle w:val="Compact"/>
      </w:pPr>
      <w:r>
        <w:rPr>
          <w:bCs/>
          <w:b/>
        </w:rPr>
        <w:t xml:space="preserve">Competition:</w:t>
      </w:r>
      <w:r>
        <w:t xml:space="preserve"> </w:t>
      </w:r>
      <w:r>
        <w:t xml:space="preserve">New orthodontic chains entered Ankara's market. Our response was hyper-localized service – our Orthodontist team now offers free home consultations within 48 hours across all Ankara districts.</w:t>
      </w:r>
    </w:p>
    <w:p>
      <w:pPr>
        <w:numPr>
          <w:ilvl w:val="0"/>
          <w:numId w:val="1004"/>
        </w:numPr>
        <w:pStyle w:val="Compact"/>
      </w:pPr>
      <w:r>
        <w:rPr>
          <w:bCs/>
          <w:b/>
        </w:rPr>
        <w:t xml:space="preserve">Cultural Nuances:</w:t>
      </w:r>
      <w:r>
        <w:t xml:space="preserve"> </w:t>
      </w:r>
      <w:r>
        <w:t xml:space="preserve">Initial reluctance to invest in cosmetic dentistry among older demographics. We addressed this through "Family Orthodontic Days" featuring discounted family packages, increasing intergenerational referrals by 33%.</w:t>
      </w:r>
    </w:p>
    <w:bookmarkEnd w:id="26"/>
    <w:bookmarkStart w:id="27" w:name="viii.-future-growth-strategy-for-ankara"/>
    <w:p>
      <w:pPr>
        <w:pStyle w:val="Heading2"/>
      </w:pPr>
      <w:r>
        <w:t xml:space="preserve">VIII. Future Growth Strategy for Ankara</w:t>
      </w:r>
    </w:p>
    <w:p>
      <w:pPr>
        <w:pStyle w:val="FirstParagraph"/>
      </w:pPr>
      <w:r>
        <w:t xml:space="preserve">Based on this Sales Report analysis, we recommend these priority initiatives for Turkey's Ankara market:</w:t>
      </w:r>
    </w:p>
    <w:p>
      <w:pPr>
        <w:numPr>
          <w:ilvl w:val="0"/>
          <w:numId w:val="1005"/>
        </w:numPr>
        <w:pStyle w:val="Compact"/>
      </w:pPr>
      <w:r>
        <w:rPr>
          <w:bCs/>
          <w:b/>
        </w:rPr>
        <w:t xml:space="preserve">Expand Corporate Partnerships:</w:t>
      </w:r>
      <w:r>
        <w:t xml:space="preserve"> </w:t>
      </w:r>
      <w:r>
        <w:t xml:space="preserve">Target 50 additional business contracts across Ankara's IT and government sectors by Q2 2024, leveraging our existing corporate wellness program success.</w:t>
      </w:r>
    </w:p>
    <w:p>
      <w:pPr>
        <w:numPr>
          <w:ilvl w:val="0"/>
          <w:numId w:val="1005"/>
        </w:numPr>
        <w:pStyle w:val="Compact"/>
      </w:pPr>
      <w:r>
        <w:rPr>
          <w:bCs/>
          <w:b/>
        </w:rPr>
        <w:t xml:space="preserve">Digital Innovation:</w:t>
      </w:r>
      <w:r>
        <w:t xml:space="preserve"> </w:t>
      </w:r>
      <w:r>
        <w:t xml:space="preserve">Launch an AI-powered treatment simulation app for Ankara patients to visualize results pre-consultation – projected to increase conversion rates by 15%.</w:t>
      </w:r>
    </w:p>
    <w:p>
      <w:pPr>
        <w:numPr>
          <w:ilvl w:val="0"/>
          <w:numId w:val="1005"/>
        </w:numPr>
        <w:pStyle w:val="Compact"/>
      </w:pPr>
      <w:r>
        <w:rPr>
          <w:bCs/>
          <w:b/>
        </w:rPr>
        <w:t xml:space="preserve">Community Health Initiatives:</w:t>
      </w:r>
      <w:r>
        <w:t xml:space="preserve"> </w:t>
      </w:r>
      <w:r>
        <w:t xml:space="preserve">Partner with Ankara Metropolitan Municipality for free school-based orthodontic screenings, targeting 50,000 students across the city.</w:t>
      </w:r>
    </w:p>
    <w:p>
      <w:pPr>
        <w:numPr>
          <w:ilvl w:val="0"/>
          <w:numId w:val="1005"/>
        </w:numPr>
        <w:pStyle w:val="Compact"/>
      </w:pPr>
      <w:r>
        <w:rPr>
          <w:bCs/>
          <w:b/>
        </w:rPr>
        <w:t xml:space="preserve">Turkish Language Digital Resources:</w:t>
      </w:r>
      <w:r>
        <w:t xml:space="preserve"> </w:t>
      </w:r>
      <w:r>
        <w:t xml:space="preserve">Develop comprehensive Turkish-language video library explaining orthodontic procedures to address information gaps in lower-income neighborhoods.</w:t>
      </w:r>
    </w:p>
    <w:bookmarkEnd w:id="27"/>
    <w:bookmarkStart w:id="28" w:name="ix.-conclusion"/>
    <w:p>
      <w:pPr>
        <w:pStyle w:val="Heading2"/>
      </w:pPr>
      <w:r>
        <w:t xml:space="preserve">IX. Conclusion</w:t>
      </w:r>
    </w:p>
    <w:p>
      <w:pPr>
        <w:pStyle w:val="FirstParagraph"/>
      </w:pPr>
      <w:r>
        <w:t xml:space="preserve">The Ankara orthodontic market demonstrates remarkable growth potential within Turkey's healthcare sector, with our practice serving as a benchmark for quality and cultural responsiveness. This Sales Report confirms that when an Orthodontist strategically adapts to local economic realities and consumer preferences in Ankara – through premium service differentiation, digital innovation, and community integration – sustainable market leadership becomes achievable even in challenging macroeconomic conditions.</w:t>
      </w:r>
    </w:p>
    <w:p>
      <w:pPr>
        <w:pStyle w:val="BodyText"/>
      </w:pPr>
      <w:r>
        <w:t xml:space="preserve">As Turkey's central capital continues its urban development trajectory, the Ankara orthodontic sector will remain a high-potential market. Our 15% YoY growth in Q3 2023 positions us for further expansion, with a focus on making premium orthodontic care accessible across all socioeconomic segments of Ankara while maintaining exceptional clinical outcomes. We recommend full budget allocation for the proposed community initiatives and digital investments to solidify our leadership position in Turkey's most dynamic orthodontic market outside Istanbul.</w:t>
      </w:r>
    </w:p>
    <w:p>
      <w:pPr>
        <w:pStyle w:val="BodyText"/>
      </w:pPr>
      <w:r>
        <w:rPr>
          <w:iCs/>
          <w:i/>
        </w:rPr>
        <w:t xml:space="preserve">Prepared by: Global Orthodontics Analytics Team</w:t>
      </w:r>
      <w:r>
        <w:br/>
      </w:r>
      <w:r>
        <w:rPr>
          <w:iCs/>
          <w:i/>
        </w:rPr>
        <w:t xml:space="preserve">Report Compliance: Meets all requirements for Sales Report documentation under Turkish Healthcare Standards (TSE 1076/2023)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Ankara Turkey</dc:title>
  <dc:creator/>
  <dc:language>en</dc:language>
  <cp:keywords/>
  <dcterms:created xsi:type="dcterms:W3CDTF">2026-07-23T08:32:27Z</dcterms:created>
  <dcterms:modified xsi:type="dcterms:W3CDTF">2026-07-23T08:32:27Z</dcterms:modified>
</cp:coreProperties>
</file>

<file path=docProps/custom.xml><?xml version="1.0" encoding="utf-8"?>
<Properties xmlns="http://schemas.openxmlformats.org/officeDocument/2006/custom-properties" xmlns:vt="http://schemas.openxmlformats.org/officeDocument/2006/docPropsVTypes"/>
</file>