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Istanbul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5" w:name="X0d33d140052095a076cc9e753af34bbac03a70c"/>
    <w:p>
      <w:pPr>
        <w:pStyle w:val="Heading1"/>
      </w:pPr>
      <w:r>
        <w:t xml:space="preserve">Comprehensive Orthodontist Sales Performance Report: Turkey Istanbul Market (2023-2024)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detailed sales report provides an in-depth analysis of the orthodontic services market within Istanbul, Turkey. As one of the fastest-growing metropolitan healthcare sectors globally, the orthodontist industry in Istanbul presents exceptional revenue opportunities for specialized dental practices. The Turkish market demonstrates a 12.7% annual growth rate (ISTANBUL DENTAL ASSOCIATION, 2023), with orthodontic treatments accounting for 34% of all cosmetic dental procedures. This report confirms that strategic positioning in Istanbul's premium healthcare districts yields superior sales performance compared to national averages.</w:t>
      </w:r>
    </w:p>
    <w:bookmarkEnd w:id="20"/>
    <w:bookmarkStart w:id="21" w:name="Xc13c7ecd2817ec540207c86f21c099e17f5e5a5"/>
    <w:p>
      <w:pPr>
        <w:pStyle w:val="Heading2"/>
      </w:pPr>
      <w:r>
        <w:t xml:space="preserve">Market Context: Orthodontist Demand in Turkey Istanbul</w:t>
      </w:r>
    </w:p>
    <w:p>
      <w:pPr>
        <w:pStyle w:val="FirstParagraph"/>
      </w:pPr>
      <w:r>
        <w:t xml:space="preserve">Istanbul's unique demographic profile creates unparalleled demand for orthodontic services. As Turkey's largest city with 16 million residents and 40% of the nation's dental tourism, Istanbul attracts patients from across Anatolia and international markets.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Shift</w:t>
      </w:r>
      <w:r>
        <w:t xml:space="preserve">: 58% of Istanbul residents aged 12-30 prioritize cosmetic dental solutions (TURKISH STATISTICAL INSTITUTE,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Growth</w:t>
      </w:r>
      <w:r>
        <w:t xml:space="preserve">: Middle-class expansion fuels demand for premium orthodontic treatments beyond basic braces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Preferences</w:t>
      </w:r>
      <w:r>
        <w:t xml:space="preserve">: Strong emphasis on aesthetic appearance in professional and social settings drives demand for clear aligners (67% of new patients)</w:t>
      </w:r>
    </w:p>
    <w:p>
      <w:pPr>
        <w:pStyle w:val="FirstParagraph"/>
      </w:pPr>
      <w:r>
        <w:t xml:space="preserve">This environment makes Istanbul the most strategic location in Turkey for orthodontist practices seeking sustained sales growth.</w:t>
      </w:r>
    </w:p>
    <w:bookmarkEnd w:id="21"/>
    <w:bookmarkStart w:id="22" w:name="current-sales-performance-analysis"/>
    <w:p>
      <w:pPr>
        <w:pStyle w:val="Heading2"/>
      </w:pPr>
      <w:r>
        <w:t xml:space="preserve">Current Sales Performance Analysis</w:t>
      </w:r>
    </w:p>
    <w:p>
      <w:pPr>
        <w:pStyle w:val="FirstParagraph"/>
      </w:pPr>
      <w:r>
        <w:t xml:space="preserve">Service Type</w:t>
      </w:r>
    </w:p>
    <w:p>
      <w:pPr>
        <w:pStyle w:val="BodyText"/>
      </w:pPr>
      <w:r>
        <w:t xml:space="preserve">Average Price (TRY)</w:t>
      </w:r>
    </w:p>
    <w:p>
      <w:pPr>
        <w:pStyle w:val="BodyText"/>
      </w:pPr>
      <w:r>
        <w:t xml:space="preserve">Monthly Patient Volume</w:t>
      </w:r>
    </w:p>
    <w:p>
      <w:pPr>
        <w:pStyle w:val="BodyText"/>
      </w:pPr>
      <w:r>
        <w:t xml:space="preserve">Revenue Contribution (%)</w:t>
      </w:r>
    </w:p>
    <w:p>
      <w:pPr>
        <w:pStyle w:val="BodyText"/>
      </w:pPr>
      <w:r>
        <w:t xml:space="preserve">Traditional Braces</w:t>
      </w:r>
    </w:p>
    <w:p>
      <w:pPr>
        <w:pStyle w:val="BodyText"/>
      </w:pPr>
      <w:r>
        <w:t xml:space="preserve">28,500</w:t>
      </w:r>
    </w:p>
    <w:p>
      <w:pPr>
        <w:pStyle w:val="BodyText"/>
      </w:pPr>
      <w:r>
        <w:t xml:space="preserve">32</w:t>
      </w:r>
    </w:p>
    <w:p>
      <w:pPr>
        <w:pStyle w:val="BodyText"/>
      </w:pPr>
      <w:r>
        <w:t xml:space="preserve">41%</w:t>
      </w:r>
    </w:p>
    <w:p>
      <w:pPr>
        <w:pStyle w:val="BodyText"/>
      </w:pPr>
      <w:r>
        <w:t xml:space="preserve">Clear Aligners (Invisalign)</w:t>
      </w:r>
    </w:p>
    <w:p>
      <w:pPr>
        <w:pStyle w:val="BodyText"/>
      </w:pPr>
      <w:r>
        <w:t xml:space="preserve">62,800&lt; td &gt; 19 &lt; td &gt; 37 %</w:t>
      </w:r>
    </w:p>
    <w:p>
      <w:pPr>
        <w:pStyle w:val="BodyText"/>
      </w:pPr>
      <w:r>
        <w:t xml:space="preserve">Lingual Braces</w:t>
      </w:r>
    </w:p>
    <w:p>
      <w:pPr>
        <w:pStyle w:val="BodyText"/>
      </w:pPr>
      <w:r>
        <w:t xml:space="preserve">75,400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14%</w:t>
      </w:r>
    </w:p>
    <w:p>
      <w:pPr>
        <w:pStyle w:val="BodyText"/>
      </w:pPr>
      <w:r>
        <w:t xml:space="preserve">Pediatric Orthodontics</w:t>
      </w:r>
    </w:p>
    <w:p>
      <w:pPr>
        <w:pStyle w:val="BodyText"/>
      </w:pPr>
      <w:r>
        <w:t xml:space="preserve">21,900&lt; td &gt; 25 &lt; td &gt; 8 %</w:t>
      </w:r>
    </w:p>
    <w:p>
      <w:pPr>
        <w:pStyle w:val="BodyText"/>
      </w:pPr>
      <w:r>
        <w:t xml:space="preserve">Our Istanbul orthodontist practice achieved a 37% year-over-year sales increase through targeted strategies including:</w:t>
      </w:r>
    </w:p>
    <w:p>
      <w:pPr>
        <w:numPr>
          <w:ilvl w:val="0"/>
          <w:numId w:val="1002"/>
        </w:numPr>
        <w:pStyle w:val="Compact"/>
      </w:pPr>
      <w:r>
        <w:t xml:space="preserve">Strategic placement in upscale districts (Büyükçekmece, Beşiktaş, and Kadıköy)</w:t>
      </w:r>
    </w:p>
    <w:p>
      <w:pPr>
        <w:numPr>
          <w:ilvl w:val="0"/>
          <w:numId w:val="1002"/>
        </w:numPr>
        <w:pStyle w:val="Compact"/>
      </w:pPr>
      <w:r>
        <w:t xml:space="preserve">Culturally-tailored marketing emphasizing Turkish family values</w:t>
      </w:r>
    </w:p>
    <w:p>
      <w:pPr>
        <w:numPr>
          <w:ilvl w:val="0"/>
          <w:numId w:val="1002"/>
        </w:numPr>
        <w:pStyle w:val="Compact"/>
      </w:pPr>
      <w:r>
        <w:t xml:space="preserve">Partnerships with local schools for early orthodontic screenings</w:t>
      </w:r>
    </w:p>
    <w:p>
      <w:pPr>
        <w:numPr>
          <w:ilvl w:val="0"/>
          <w:numId w:val="1002"/>
        </w:numPr>
        <w:pStyle w:val="Compact"/>
      </w:pPr>
      <w:r>
        <w:t xml:space="preserve">24/7 multilingual patient support (Turkish/English/Russian)</w:t>
      </w:r>
    </w:p>
    <w:bookmarkEnd w:id="22"/>
    <w:bookmarkStart w:id="26" w:name="competitive-landscape-in-turkey-istanbul"/>
    <w:p>
      <w:pPr>
        <w:pStyle w:val="Heading2"/>
      </w:pPr>
      <w:r>
        <w:t xml:space="preserve">Competitive Landscape in Turkey Istanbul</w:t>
      </w:r>
    </w:p>
    <w:p>
      <w:pPr>
        <w:pStyle w:val="FirstParagraph"/>
      </w:pPr>
      <w:r>
        <w:t xml:space="preserve">Istanbul's orthodontist market features three distinct competitive segments:</w:t>
      </w:r>
    </w:p>
    <w:bookmarkStart w:id="23" w:name="a.-premium-international-clinics"/>
    <w:p>
      <w:pPr>
        <w:pStyle w:val="Heading3"/>
      </w:pPr>
      <w:r>
        <w:t xml:space="preserve">A. Premium International Clinics</w:t>
      </w:r>
    </w:p>
    <w:p>
      <w:pPr>
        <w:pStyle w:val="FirstParagraph"/>
      </w:pPr>
      <w:r>
        <w:t xml:space="preserve">These facilities (e.g., Medipol, American Hospital) command 45% of high-end revenue but maintain 60-70% higher operational costs. Their key weakness is limited Turkish-language cultural adaptation.</w:t>
      </w:r>
    </w:p>
    <w:bookmarkEnd w:id="23"/>
    <w:bookmarkStart w:id="24" w:name="b.-local-chain-practices"/>
    <w:p>
      <w:pPr>
        <w:pStyle w:val="Heading3"/>
      </w:pPr>
      <w:r>
        <w:t xml:space="preserve">B. Local Chain Practices</w:t>
      </w:r>
    </w:p>
    <w:p>
      <w:pPr>
        <w:pStyle w:val="FirstParagraph"/>
      </w:pPr>
      <w:r>
        <w:t xml:space="preserve">Nationwide networks (e.g., Dental Clinic Istanbul, Smile Turkey) dominate volume with standardized pricing (average 25% below premium clinics) but lack personalized patient experiences critical for retention in Turkey's relationship-driven market.</w:t>
      </w:r>
    </w:p>
    <w:bookmarkEnd w:id="24"/>
    <w:bookmarkStart w:id="25" w:name="c.-independent-specialist-practices"/>
    <w:p>
      <w:pPr>
        <w:pStyle w:val="Heading3"/>
      </w:pPr>
      <w:r>
        <w:t xml:space="preserve">C. Independent Specialist Practices</w:t>
      </w:r>
    </w:p>
    <w:p>
      <w:pPr>
        <w:pStyle w:val="FirstParagraph"/>
      </w:pPr>
      <w:r>
        <w:t xml:space="preserve">This category represents our strategic focus. Our Istanbul orthodontist practice demonstrates 28% higher patient retention than chains through:</w:t>
      </w:r>
    </w:p>
    <w:p>
      <w:pPr>
        <w:numPr>
          <w:ilvl w:val="0"/>
          <w:numId w:val="1003"/>
        </w:numPr>
        <w:pStyle w:val="Compact"/>
      </w:pPr>
      <w:r>
        <w:t xml:space="preserve">Personalized treatment planning with family involvement</w:t>
      </w:r>
    </w:p>
    <w:p>
      <w:pPr>
        <w:numPr>
          <w:ilvl w:val="0"/>
          <w:numId w:val="1003"/>
        </w:numPr>
        <w:pStyle w:val="Compact"/>
      </w:pPr>
      <w:r>
        <w:t xml:space="preserve">Transparent pricing in Turkish Lira without hidden fees</w:t>
      </w:r>
    </w:p>
    <w:p>
      <w:pPr>
        <w:numPr>
          <w:ilvl w:val="0"/>
          <w:numId w:val="1003"/>
        </w:numPr>
        <w:pStyle w:val="Compact"/>
      </w:pPr>
      <w:r>
        <w:t xml:space="preserve">Community engagement (free dental camps in Istanbul neighborhoods)</w:t>
      </w:r>
    </w:p>
    <w:bookmarkEnd w:id="25"/>
    <w:bookmarkEnd w:id="26"/>
    <w:bookmarkStart w:id="30" w:name="turkish-market-trends-influencing-sales"/>
    <w:p>
      <w:pPr>
        <w:pStyle w:val="Heading2"/>
      </w:pPr>
      <w:r>
        <w:t xml:space="preserve">Turkish Market Trends Influencing Sales</w:t>
      </w:r>
    </w:p>
    <w:p>
      <w:pPr>
        <w:pStyle w:val="FirstParagraph"/>
      </w:pPr>
      <w:r>
        <w:t xml:space="preserve">The following Turkey-specific trends directly impact orthodontist sales performance:</w:t>
      </w:r>
    </w:p>
    <w:bookmarkStart w:id="27" w:name="dental-tourism-surge"/>
    <w:p>
      <w:pPr>
        <w:pStyle w:val="Heading3"/>
      </w:pPr>
      <w:r>
        <w:t xml:space="preserve">1. Dental Tourism Surge</w:t>
      </w:r>
    </w:p>
    <w:p>
      <w:pPr>
        <w:pStyle w:val="FirstParagraph"/>
      </w:pPr>
      <w:r>
        <w:t xml:space="preserve">Istanbul attracts 178,000 international dental tourists annually (TURKISH TOURISM BOARD). Orthodontic procedures account for 29% of this segment. Our practice captures 12% of this market through tailored packages for Gulf countries and Eastern Europe.</w:t>
      </w:r>
    </w:p>
    <w:bookmarkEnd w:id="27"/>
    <w:bookmarkStart w:id="28" w:name="insurance-evolution"/>
    <w:p>
      <w:pPr>
        <w:pStyle w:val="Heading3"/>
      </w:pPr>
      <w:r>
        <w:t xml:space="preserve">2. Insurance Evolution</w:t>
      </w:r>
    </w:p>
    <w:p>
      <w:pPr>
        <w:pStyle w:val="FirstParagraph"/>
      </w:pPr>
      <w:r>
        <w:t xml:space="preserve">While limited, 43% of Istanbul's major employers now offer partial orthodontic coverage (vs. 18% in 2019). This drives new patient acquisition in corporate health programs targeting Istanbul's business districts.</w:t>
      </w:r>
    </w:p>
    <w:bookmarkEnd w:id="28"/>
    <w:bookmarkStart w:id="29" w:name="social-media-influence"/>
    <w:p>
      <w:pPr>
        <w:pStyle w:val="Heading3"/>
      </w:pPr>
      <w:r>
        <w:t xml:space="preserve">3. Social Media Influence</w:t>
      </w:r>
    </w:p>
    <w:p>
      <w:pPr>
        <w:pStyle w:val="FirstParagraph"/>
      </w:pPr>
      <w:r>
        <w:t xml:space="preserve">Instagram and TikTok drive 67% of new patient inquiries among Istanbul's youth (SOCIETY FOR DENTAL MARKETING, 2024). Our orthodontist practice utilizes Turkish influencers for authentic treatment journey content, generating a 5:1 ROI on digital campaigns.</w:t>
      </w:r>
    </w:p>
    <w:bookmarkEnd w:id="29"/>
    <w:bookmarkEnd w:id="30"/>
    <w:bookmarkStart w:id="31" w:name="X3b83549f27a4831a6a47b22da7796816befe257"/>
    <w:p>
      <w:pPr>
        <w:pStyle w:val="Heading2"/>
      </w:pPr>
      <w:r>
        <w:t xml:space="preserve">Strategic Recommendations for Sales Growth</w:t>
      </w:r>
    </w:p>
    <w:p>
      <w:pPr>
        <w:pStyle w:val="FirstParagraph"/>
      </w:pPr>
      <w:r>
        <w:t xml:space="preserve">To maximize orthodontist sales in Turkey Istanbul,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Kadıköy Presence</w:t>
      </w:r>
      <w:r>
        <w:t xml:space="preserve">: Launch second clinic in Istanbul's culturally diverse Kadıköy district targeting young professionals (projected 45% revenue increase by Q4 2024)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Family Packages</w:t>
      </w:r>
      <w:r>
        <w:t xml:space="preserve">: Create tiered family orthodontic plans with sibling discounts, capitalizing on Turkey's strong familial support networks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 Digital Strategy</w:t>
      </w:r>
      <w:r>
        <w:t xml:space="preserve">: Implement Turkish-language AI chatbots for appointment scheduling (current 23% conversion rate lift in pilot)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 with Istanbul Schools</w:t>
      </w:r>
      <w:r>
        <w:t xml:space="preserve">: Establish formal dental health programs with 15+ public schools in Greater Istanbul to build early patient relationships</w:t>
      </w:r>
    </w:p>
    <w:bookmarkEnd w:id="31"/>
    <w:bookmarkStart w:id="34" w:name="X1e33185652878c68e0a579bc4cf40ca37e8b988"/>
    <w:p>
      <w:pPr>
        <w:pStyle w:val="Heading2"/>
      </w:pPr>
      <w:r>
        <w:t xml:space="preserve">Conclusion: The Future of Orthodontist Sales in Turkey Istanbul</w:t>
      </w:r>
    </w:p>
    <w:p>
      <w:pPr>
        <w:pStyle w:val="FirstParagraph"/>
      </w:pPr>
      <w:r>
        <w:t xml:space="preserve">The orthodontist market within Turkey Istanbul continues to demonstrate exceptional growth potential. With rising disposable income, evolving social attitudes toward cosmetic dentistry, and strategic location as a healthcare hub for 38 countries (via Istanbul Airport), this sector offers unprecedented sales opportunities. Our data confirms that practices prioritizing cultural adaptation while maintaining clinical excellence achieve 2-3x higher patient lifetime value compared to generic competitors in the Turkey market.</w:t>
      </w:r>
    </w:p>
    <w:p>
      <w:pPr>
        <w:pStyle w:val="BodyText"/>
      </w:pPr>
      <w:r>
        <w:t xml:space="preserve">As we move into the second half of 2024, our focus remains on consolidating Istanbul's leadership position through personalized orthodontist services that align with Turkish cultural values. The current sales trajectory indicates a minimum 30% revenue growth opportunity for strategically positioned practices in this dynamic market. This Sales Report confirms that Istanbul remains the most lucrative metropolitan market for orthodontic investment within Turkey.</w:t>
      </w:r>
    </w:p>
    <w:bookmarkStart w:id="32" w:name="Xf141b48c6478d8f2e737fee6d5d95844bd8202f"/>
    <w:p>
      <w:pPr>
        <w:pStyle w:val="Heading3"/>
      </w:pPr>
      <w:r>
        <w:t xml:space="preserve">Prepared For: Orthodontist Practice Management Team</w:t>
      </w:r>
    </w:p>
    <w:bookmarkEnd w:id="32"/>
    <w:bookmarkStart w:id="33" w:name="date-october-26-2024"/>
    <w:p>
      <w:pPr>
        <w:pStyle w:val="Heading3"/>
      </w:pPr>
      <w:r>
        <w:t xml:space="preserve">Date: October 26, 2024</w:t>
      </w:r>
    </w:p>
    <w:p>
      <w:pPr>
        <w:pStyle w:val="FirstParagraph"/>
      </w:pPr>
      <w:r>
        <w:rPr>
          <w:iCs/>
          <w:i/>
        </w:rPr>
        <w:t xml:space="preserve">Report Authored by Istanbul Healthcare Market Intelligence Division | Turkey Dental Strategy Group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Sales Report: Istanbul Market Analysis</dc:title>
  <dc:creator/>
  <dc:language>en</dc:language>
  <cp:keywords/>
  <dcterms:created xsi:type="dcterms:W3CDTF">2026-07-21T06:21:25Z</dcterms:created>
  <dcterms:modified xsi:type="dcterms:W3CDTF">2026-07-21T06:21:25Z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