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73e401b31e624451890f8f14a6e2ae4a2f3ed24"/>
    <w:p>
      <w:pPr>
        <w:pStyle w:val="Heading1"/>
      </w:pPr>
      <w:r>
        <w:t xml:space="preserve">Sales Report: Orthodontic Practice Performance in Uganda Kampala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orthodontic practice within Kampala, Uganda, covering the third quarter of 2023. As a leading Orthodontist practice in East Africa, we've witnessed significant growth trajectory driven by increasing dental awareness and rising demand for aesthetic orthodontic solutions. In Uganda Kampala specifically, we achieved a 28% year-over-year sales increase to UGX 14.7 billion (USD $4.1 million), with consistent patient acquisition rates exceeding industry benchmarks by 35%. This report underscores our strategic positioning within the Ugandan market while identifying critical growth vectors for sustainable expansion.</w:t>
      </w:r>
    </w:p>
    <w:bookmarkEnd w:id="20"/>
    <w:bookmarkStart w:id="21" w:name="Xd2cf25a886187843c308a4a5a985577eb1fe3f7"/>
    <w:p>
      <w:pPr>
        <w:pStyle w:val="Heading2"/>
      </w:pPr>
      <w:r>
        <w:t xml:space="preserve">Market Context: Orthodontics in Uganda Kampala</w:t>
      </w:r>
    </w:p>
    <w:p>
      <w:pPr>
        <w:pStyle w:val="FirstParagraph"/>
      </w:pPr>
      <w:r>
        <w:t xml:space="preserve">The orthodontic landscape in Uganda Kampala presents unique opportunities and challenges. Historically underserved due to limited specialized dental infrastructure, the market has experienced exponential growth since 2019, driven by rising disposable incomes among urban middle-class populations and heightened health consciousness. According to the Uganda Dental Association (2023), only 4% of Kampala's population currently accesses orthodontic care—indicating massive untapped potential. Our Sales Report confirms that demand is shifting from traditional metal braces toward clear aligners (now representing 65% of new cases) and accelerated treatment options, reflecting global trends adapted to Kampala's socio-economic context.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(UGX)</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Traditional Metal Braces</w:t>
            </w:r>
          </w:p>
        </w:tc>
        <w:tc>
          <w:tcPr/>
          <w:p>
            <w:pPr>
              <w:pStyle w:val="Compact"/>
              <w:jc w:val="left"/>
            </w:pPr>
            <w:r>
              <w:t xml:space="preserve">5.1 billion</w:t>
            </w:r>
          </w:p>
        </w:tc>
        <w:tc>
          <w:tcPr/>
          <w:p>
            <w:pPr>
              <w:pStyle w:val="Compact"/>
              <w:jc w:val="left"/>
            </w:pPr>
            <w:r>
              <w:t xml:space="preserve">34.7%</w:t>
            </w:r>
          </w:p>
        </w:tc>
        <w:tc>
          <w:tcPr/>
          <w:p>
            <w:pPr>
              <w:pStyle w:val="Compact"/>
              <w:jc w:val="left"/>
            </w:pPr>
            <w:r>
              <w:t xml:space="preserve">+12%</w:t>
            </w:r>
          </w:p>
        </w:tc>
      </w:tr>
      <w:tr>
        <w:tc>
          <w:tcPr/>
          <w:p>
            <w:pPr>
              <w:pStyle w:val="Compact"/>
              <w:jc w:val="left"/>
            </w:pPr>
            <w:r>
              <w:t xml:space="preserve">Clear Aligners (Invisalign, etc.)</w:t>
            </w:r>
          </w:p>
        </w:tc>
        <w:tc>
          <w:tcPr/>
          <w:p>
            <w:pPr>
              <w:pStyle w:val="Compact"/>
              <w:jc w:val="left"/>
            </w:pPr>
            <w:r>
              <w:t xml:space="preserve">9.6 billion</w:t>
            </w:r>
          </w:p>
        </w:tc>
        <w:tc>
          <w:tcPr/>
          <w:p>
            <w:pPr>
              <w:pStyle w:val="Compact"/>
              <w:jc w:val="left"/>
            </w:pPr>
            <w:r>
              <w:t xml:space="preserve">65.3%</w:t>
            </w:r>
          </w:p>
        </w:tc>
        <w:tc>
          <w:tcPr/>
          <w:p>
            <w:pPr>
              <w:pStyle w:val="Compact"/>
              <w:jc w:val="left"/>
            </w:pPr>
            <w:r>
              <w:t xml:space="preserve">+47%*</w:t>
            </w:r>
          </w:p>
        </w:tc>
      </w:tr>
      <w:tr>
        <w:tc>
          <w:tcPr/>
          <w:p>
            <w:pPr>
              <w:pStyle w:val="Compact"/>
              <w:jc w:val="left"/>
            </w:pPr>
            <w:r>
              <w:rPr>
                <w:bCs/>
                <w:b/>
              </w:rPr>
              <w:t xml:space="preserve">Total Orthodontic Services</w:t>
            </w:r>
          </w:p>
        </w:tc>
        <w:tc>
          <w:tcPr/>
          <w:p>
            <w:pPr>
              <w:pStyle w:val="Compact"/>
              <w:jc w:val="left"/>
            </w:pPr>
            <w:r>
              <w:rPr>
                <w:bCs/>
                <w:b/>
              </w:rPr>
              <w:t xml:space="preserve">14.7 billion</w:t>
            </w:r>
          </w:p>
        </w:tc>
        <w:tc>
          <w:tcPr/>
          <w:p>
            <w:pPr>
              <w:pStyle w:val="Compact"/>
              <w:jc w:val="left"/>
            </w:pPr>
            <w:r>
              <w:rPr>
                <w:bCs/>
                <w:b/>
              </w:rPr>
              <w:t xml:space="preserve">100%</w:t>
            </w:r>
          </w:p>
        </w:tc>
        <w:tc>
          <w:tcPr/>
          <w:p>
            <w:pPr>
              <w:pStyle w:val="Compact"/>
              <w:jc w:val="left"/>
            </w:pPr>
            <w:r>
              <w:rPr>
                <w:bCs/>
                <w:b/>
              </w:rPr>
              <w:t xml:space="preserve">+28%</w:t>
            </w:r>
          </w:p>
        </w:tc>
      </w:tr>
    </w:tbl>
    <w:p>
      <w:pPr>
        <w:pStyle w:val="BodyText"/>
      </w:pPr>
      <w:r>
        <w:t xml:space="preserve">*Note: Clear aligner growth accelerated due to targeted Kampala-based marketing campaigns addressing aesthetic concerns among young professionals.</w:t>
      </w:r>
    </w:p>
    <w:bookmarkEnd w:id="22"/>
    <w:bookmarkStart w:id="23" w:name="key-growth-drivers-in-uganda-kampala"/>
    <w:p>
      <w:pPr>
        <w:pStyle w:val="Heading2"/>
      </w:pPr>
      <w:r>
        <w:t xml:space="preserve">Key Growth Drivers in Uganda Kampala</w:t>
      </w:r>
    </w:p>
    <w:p>
      <w:pPr>
        <w:numPr>
          <w:ilvl w:val="0"/>
          <w:numId w:val="1001"/>
        </w:numPr>
        <w:pStyle w:val="Compact"/>
      </w:pPr>
      <w:r>
        <w:rPr>
          <w:bCs/>
          <w:b/>
        </w:rPr>
        <w:t xml:space="preserve">Urbanization Surge:</w:t>
      </w:r>
      <w:r>
        <w:t xml:space="preserve"> </w:t>
      </w:r>
      <w:r>
        <w:t xml:space="preserve">Kampala's population growth (3.1% annually) has intensified demand for cosmetic dental solutions among 18-35-year-olds—a demographic now constituting 78% of new patients.</w:t>
      </w:r>
    </w:p>
    <w:p>
      <w:pPr>
        <w:numPr>
          <w:ilvl w:val="0"/>
          <w:numId w:val="1001"/>
        </w:numPr>
        <w:pStyle w:val="Compact"/>
      </w:pPr>
      <w:r>
        <w:rPr>
          <w:bCs/>
          <w:b/>
        </w:rPr>
        <w:t xml:space="preserve">Strategic Partnerships:</w:t>
      </w:r>
      <w:r>
        <w:t xml:space="preserve"> </w:t>
      </w:r>
      <w:r>
        <w:t xml:space="preserve">Collaborations with Kampala-based corporate entities (e.g., MTN Uganda, Stanbic Bank) for employee health packages generated 22% of Q3 revenue.</w:t>
      </w:r>
    </w:p>
    <w:p>
      <w:pPr>
        <w:numPr>
          <w:ilvl w:val="0"/>
          <w:numId w:val="1001"/>
        </w:numPr>
        <w:pStyle w:val="Compact"/>
      </w:pPr>
      <w:r>
        <w:rPr>
          <w:bCs/>
          <w:b/>
        </w:rPr>
        <w:t xml:space="preserve">Digital Adoption:</w:t>
      </w:r>
      <w:r>
        <w:t xml:space="preserve"> </w:t>
      </w:r>
      <w:r>
        <w:t xml:space="preserve">Our tele-orthodontic consults—launched in January 2023—accounted for 18% of new patient acquisitions in Kampala, reducing geographical barriers to care access.</w:t>
      </w:r>
    </w:p>
    <w:bookmarkEnd w:id="23"/>
    <w:bookmarkStart w:id="24" w:name="Xa4db2335b076e8c6d3f7b9b43e1a974367bed4a"/>
    <w:p>
      <w:pPr>
        <w:pStyle w:val="Heading2"/>
      </w:pPr>
      <w:r>
        <w:t xml:space="preserve">Challenges Facing the Orthodontist Practice</w:t>
      </w:r>
    </w:p>
    <w:p>
      <w:pPr>
        <w:pStyle w:val="FirstParagraph"/>
      </w:pPr>
      <w:r>
        <w:t xml:space="preserve">Despite robust performance, our Sales Report identifies critical challenges unique to operating an Orthodontist practice in Uganda Kampala:</w:t>
      </w:r>
    </w:p>
    <w:p>
      <w:pPr>
        <w:numPr>
          <w:ilvl w:val="0"/>
          <w:numId w:val="1002"/>
        </w:numPr>
        <w:pStyle w:val="Compact"/>
      </w:pPr>
      <w:r>
        <w:rPr>
          <w:bCs/>
          <w:b/>
        </w:rPr>
        <w:t xml:space="preserve">Supply Chain Constraints:</w:t>
      </w:r>
      <w:r>
        <w:t xml:space="preserve"> </w:t>
      </w:r>
      <w:r>
        <w:t xml:space="preserve">89% of imported orthodontic materials face 4-6 week delays due to port congestion at Mombasa, increasing patient wait times and operational costs.</w:t>
      </w:r>
    </w:p>
    <w:p>
      <w:pPr>
        <w:numPr>
          <w:ilvl w:val="0"/>
          <w:numId w:val="1002"/>
        </w:numPr>
        <w:pStyle w:val="Compact"/>
      </w:pPr>
      <w:r>
        <w:rPr>
          <w:bCs/>
          <w:b/>
        </w:rPr>
        <w:t xml:space="preserve">Pricing Sensitivity:</w:t>
      </w:r>
      <w:r>
        <w:t xml:space="preserve"> </w:t>
      </w:r>
      <w:r>
        <w:t xml:space="preserve">While Kampala's middle class is growing, 57% of prospective patients cite affordability as the primary barrier—despite our tiered pricing model.</w:t>
      </w:r>
    </w:p>
    <w:p>
      <w:pPr>
        <w:numPr>
          <w:ilvl w:val="0"/>
          <w:numId w:val="1002"/>
        </w:numPr>
        <w:pStyle w:val="Compact"/>
      </w:pPr>
      <w:r>
        <w:rPr>
          <w:bCs/>
          <w:b/>
        </w:rPr>
        <w:t xml:space="preserve">Regulatory Hurdles:</w:t>
      </w:r>
      <w:r>
        <w:t xml:space="preserve"> </w:t>
      </w:r>
      <w:r>
        <w:t xml:space="preserve">Complex medical device import licensing processes in Uganda add 15-20 days to treatment initiation timelines.</w:t>
      </w:r>
    </w:p>
    <w:bookmarkEnd w:id="24"/>
    <w:bookmarkStart w:id="25" w:name="Xd11982d9cfa68b5c2d18018978adb09b16f60b2"/>
    <w:p>
      <w:pPr>
        <w:pStyle w:val="Heading2"/>
      </w:pPr>
      <w:r>
        <w:t xml:space="preserve">Market Trends Analysis: Future Outlook for Orthodontist Services</w:t>
      </w:r>
    </w:p>
    <w:p>
      <w:pPr>
        <w:pStyle w:val="FirstParagraph"/>
      </w:pPr>
      <w:r>
        <w:t xml:space="preserve">The orthodontic sector in Uganda Kampala is transitioning from "dental correction" to "aesthetic enhancement," with clear aligners now the preferred first-line treatment. Our Sales Report projects this trend will accelerate as:</w:t>
      </w:r>
    </w:p>
    <w:p>
      <w:pPr>
        <w:numPr>
          <w:ilvl w:val="0"/>
          <w:numId w:val="1003"/>
        </w:numPr>
        <w:pStyle w:val="Compact"/>
      </w:pPr>
      <w:r>
        <w:t xml:space="preserve">15 new dental clinics opened in Kampala (2023), most offering basic orthodontics but lacking specialized Orthodontist expertise</w:t>
      </w:r>
    </w:p>
    <w:p>
      <w:pPr>
        <w:numPr>
          <w:ilvl w:val="0"/>
          <w:numId w:val="1003"/>
        </w:numPr>
        <w:pStyle w:val="Compact"/>
      </w:pPr>
      <w:r>
        <w:t xml:space="preserve">Instagram and TikTok campaigns targeting Ugandan youth (particularly university students) driving 30% higher engagement than traditional advertising</w:t>
      </w:r>
    </w:p>
    <w:p>
      <w:pPr>
        <w:numPr>
          <w:ilvl w:val="0"/>
          <w:numId w:val="1003"/>
        </w:numPr>
        <w:pStyle w:val="Compact"/>
      </w:pPr>
      <w:r>
        <w:t xml:space="preserve">Government initiatives like "Healthy Kampala 2030" increasing health insurance coverage for dental care by 18%</w:t>
      </w:r>
    </w:p>
    <w:bookmarkEnd w:id="25"/>
    <w:bookmarkStart w:id="26" w:name="Xc1f8ebff6f393656a5ef9a5d572666ebf4b0a3c"/>
    <w:p>
      <w:pPr>
        <w:pStyle w:val="Heading2"/>
      </w:pPr>
      <w:r>
        <w:t xml:space="preserve">Strategic Recommendations for Uganda Kampala Operations</w:t>
      </w:r>
    </w:p>
    <w:p>
      <w:pPr>
        <w:pStyle w:val="FirstParagraph"/>
      </w:pPr>
      <w:r>
        <w:t xml:space="preserve">To capitalize on market potential and overcome existing challenges, we propose:</w:t>
      </w:r>
    </w:p>
    <w:p>
      <w:pPr>
        <w:numPr>
          <w:ilvl w:val="0"/>
          <w:numId w:val="1004"/>
        </w:numPr>
        <w:pStyle w:val="Compact"/>
      </w:pPr>
      <w:r>
        <w:rPr>
          <w:bCs/>
          <w:b/>
        </w:rPr>
        <w:t xml:space="preserve">Local Sourcing Initiative:</w:t>
      </w:r>
      <w:r>
        <w:t xml:space="preserve"> </w:t>
      </w:r>
      <w:r>
        <w:t xml:space="preserve">Partner with Ugandan medical manufacturers to produce 40% of non-critical orthodontic materials locally by Q2 2024, reducing import dependency.</w:t>
      </w:r>
    </w:p>
    <w:p>
      <w:pPr>
        <w:numPr>
          <w:ilvl w:val="0"/>
          <w:numId w:val="1004"/>
        </w:numPr>
        <w:pStyle w:val="Compact"/>
      </w:pPr>
      <w:r>
        <w:rPr>
          <w:bCs/>
          <w:b/>
        </w:rPr>
        <w:t xml:space="preserve">Payment Flexibility Program:</w:t>
      </w:r>
      <w:r>
        <w:t xml:space="preserve"> </w:t>
      </w:r>
      <w:r>
        <w:t xml:space="preserve">Introduce "Kampala Smile Plan" enabling monthly installments (3-6 months) for patients earning UGX 5 million-15 million annually, targeting the underserved middle class.</w:t>
      </w:r>
    </w:p>
    <w:p>
      <w:pPr>
        <w:numPr>
          <w:ilvl w:val="0"/>
          <w:numId w:val="1004"/>
        </w:numPr>
        <w:pStyle w:val="Compact"/>
      </w:pPr>
      <w:r>
        <w:rPr>
          <w:bCs/>
          <w:b/>
        </w:rPr>
        <w:t xml:space="preserve">Digital Expansion:</w:t>
      </w:r>
      <w:r>
        <w:t xml:space="preserve"> </w:t>
      </w:r>
      <w:r>
        <w:t xml:space="preserve">Deploy AI-powered smile simulation tools via mobile app to enhance patient engagement in Kampala's tech-savvy population.</w:t>
      </w:r>
    </w:p>
    <w:p>
      <w:pPr>
        <w:numPr>
          <w:ilvl w:val="0"/>
          <w:numId w:val="1004"/>
        </w:numPr>
        <w:pStyle w:val="Compact"/>
      </w:pPr>
      <w:r>
        <w:rPr>
          <w:bCs/>
          <w:b/>
        </w:rPr>
        <w:t xml:space="preserve">Community Health Partnerships:</w:t>
      </w:r>
      <w:r>
        <w:t xml:space="preserve"> </w:t>
      </w:r>
      <w:r>
        <w:t xml:space="preserve">Collaborate with Kampala City Council for free dental screenings at 5 high schools, generating brand awareness and early-stage patient referrals.</w:t>
      </w:r>
    </w:p>
    <w:bookmarkEnd w:id="26"/>
    <w:bookmarkStart w:id="27" w:name="X1c83ee6074d05b2e97f54e9191c176271d10441"/>
    <w:p>
      <w:pPr>
        <w:pStyle w:val="Heading2"/>
      </w:pPr>
      <w:r>
        <w:t xml:space="preserve">Conclusion: Positioning as the Premier Orthodontist in Uganda Kampala</w:t>
      </w:r>
    </w:p>
    <w:p>
      <w:pPr>
        <w:pStyle w:val="FirstParagraph"/>
      </w:pPr>
      <w:r>
        <w:t xml:space="preserve">This Sales Report affirms that our orthodontic practice has established itself as a market leader in Uganda Kampala, with revenue growth outperforming regional averages. The shift toward aesthetic orthodontics—particularly clear aligners—demonstrates our strategic alignment with Kampala's evolving consumer preferences. By addressing supply chain bottlenecks and enhancing accessibility through innovative financial models, we project 35% revenue growth for 2024. As the only Orthodontist practice in Kampala offering certified tele-consultations and a comprehensive student referral program, we are uniquely positioned to dominate Uganda's expanding orthodontic market. We recommend immediate implementation of our local sourcing and payment flexibility initiatives to maintain this competitive advantage across all Uganda Kampala operations.</w:t>
      </w:r>
    </w:p>
    <w:p>
      <w:pPr>
        <w:pStyle w:val="BodyText"/>
      </w:pPr>
      <w:r>
        <w:rPr>
          <w:bCs/>
          <w:b/>
        </w:rPr>
        <w:t xml:space="preserve">Prepared For:</w:t>
      </w:r>
      <w:r>
        <w:t xml:space="preserve"> </w:t>
      </w:r>
      <w:r>
        <w:t xml:space="preserve">Executive Leadership Team, Orthodontist Practice Group</w:t>
      </w:r>
      <w:r>
        <w:br/>
      </w:r>
      <w:r>
        <w:rPr>
          <w:bCs/>
          <w:b/>
        </w:rPr>
        <w:t xml:space="preserve">Date:</w:t>
      </w:r>
      <w:r>
        <w:t xml:space="preserve"> </w:t>
      </w:r>
      <w:r>
        <w:t xml:space="preserve">October 26, 2023</w:t>
      </w:r>
      <w:r>
        <w:br/>
      </w:r>
      <w:r>
        <w:rPr>
          <w:bCs/>
          <w:b/>
        </w:rPr>
        <w:t xml:space="preserve">Prepared By:</w:t>
      </w:r>
      <w:r>
        <w:t xml:space="preserve"> </w:t>
      </w:r>
      <w:r>
        <w:t xml:space="preserve">Kampala Regional Sales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Uganda Kampala Market Analysis</dc:title>
  <dc:creator/>
  <dc:language>en</dc:language>
  <cp:keywords/>
  <dcterms:created xsi:type="dcterms:W3CDTF">2026-07-21T02:58:36Z</dcterms:created>
  <dcterms:modified xsi:type="dcterms:W3CDTF">2026-07-21T02:58:36Z</dcterms:modified>
</cp:coreProperties>
</file>

<file path=docProps/custom.xml><?xml version="1.0" encoding="utf-8"?>
<Properties xmlns="http://schemas.openxmlformats.org/officeDocument/2006/custom-properties" xmlns:vt="http://schemas.openxmlformats.org/officeDocument/2006/docPropsVTypes"/>
</file>