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27" w:name="X43164b53659edf65738b604d9be7995e6d3c8e9"/>
    <w:p>
      <w:pPr>
        <w:pStyle w:val="Heading1"/>
      </w:pPr>
      <w:r>
        <w:t xml:space="preserve">Q3 2023 Orthodontic Sales Performance Report: United Arab Emirates Abu Dhabi Market Analysis</w:t>
      </w:r>
    </w:p>
    <w:p>
      <w:pPr>
        <w:pStyle w:val="FirstParagraph"/>
      </w:pPr>
      <w:r>
        <w:rPr>
          <w:bCs/>
          <w:b/>
        </w:rPr>
        <w:t xml:space="preserve">Prepared For:</w:t>
      </w:r>
      <w:r>
        <w:t xml:space="preserve"> </w:t>
      </w:r>
      <w:r>
        <w:t xml:space="preserve">Executive Leadership, Dental Healthcare Management, United Arab Emirates Abu Dhabi Health Sector Board</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orthodontic services across the United Arab Emirates Abu Dhabi market during Q3 2023. The report confirms a robust growth trajectory for orthodontic practices, driven by increased patient awareness, rising disposable income among expatriate and Emirati populations, and strategic investments in premium dental technology. Orthodontist professionals have emerged as critical revenue generators within the Abu Dhabi healthcare ecosystem, with demand exceeding supply in specialized care segments. The United Arab Emirates Abu Dhabi government's focus on enhancing healthcare infrastructure directly supports this sector's expansion.</w:t>
      </w:r>
    </w:p>
    <w:bookmarkEnd w:id="20"/>
    <w:bookmarkStart w:id="21" w:name="market-overview-demand-drivers"/>
    <w:p>
      <w:pPr>
        <w:pStyle w:val="Heading2"/>
      </w:pPr>
      <w:r>
        <w:t xml:space="preserve">Market Overview &amp; Demand Drivers</w:t>
      </w:r>
    </w:p>
    <w:p>
      <w:pPr>
        <w:pStyle w:val="FirstParagraph"/>
      </w:pPr>
      <w:r>
        <w:t xml:space="preserve">The orthodontic market in United Arab Emirates Abu Dhabi has demonstrated exceptional resilience and growth potential. Recent data from the Abu Dhabi Department of Health indicates a 18.7% year-over-year increase in orthodontic consultations, significantly outpacing the national healthcare service growth rate. This surge is attributed to several key factors:</w:t>
      </w:r>
    </w:p>
    <w:p>
      <w:pPr>
        <w:numPr>
          <w:ilvl w:val="0"/>
          <w:numId w:val="1001"/>
        </w:numPr>
        <w:pStyle w:val="Compact"/>
      </w:pPr>
      <w:r>
        <w:rPr>
          <w:bCs/>
          <w:b/>
        </w:rPr>
        <w:t xml:space="preserve">Demographic Shift:</w:t>
      </w:r>
      <w:r>
        <w:t xml:space="preserve"> </w:t>
      </w:r>
      <w:r>
        <w:t xml:space="preserve">Over 65% of Abu Dhabi's population is under 40 years old, creating a sustained pipeline for orthodontic needs among youth and young adults.</w:t>
      </w:r>
    </w:p>
    <w:p>
      <w:pPr>
        <w:numPr>
          <w:ilvl w:val="0"/>
          <w:numId w:val="1001"/>
        </w:numPr>
        <w:pStyle w:val="Compact"/>
      </w:pPr>
      <w:r>
        <w:rPr>
          <w:bCs/>
          <w:b/>
        </w:rPr>
        <w:t xml:space="preserve">Economic Prosperity:</w:t>
      </w:r>
      <w:r>
        <w:t xml:space="preserve"> </w:t>
      </w:r>
      <w:r>
        <w:t xml:space="preserve">Rising affluence among Emirati families and a thriving expatriate community has increased willingness to invest in cosmetic dental procedures, including clear aligners and traditional braces.</w:t>
      </w:r>
    </w:p>
    <w:p>
      <w:pPr>
        <w:numPr>
          <w:ilvl w:val="0"/>
          <w:numId w:val="1001"/>
        </w:numPr>
        <w:pStyle w:val="Compact"/>
      </w:pPr>
      <w:r>
        <w:rPr>
          <w:bCs/>
          <w:b/>
        </w:rPr>
        <w:t xml:space="preserve">Government Initiatives:</w:t>
      </w:r>
      <w:r>
        <w:t xml:space="preserve"> </w:t>
      </w:r>
      <w:r>
        <w:t xml:space="preserve">The Abu Dhabi Vision 2030 healthcare strategy prioritizes preventive and aesthetic dentistry, leading to expanded insurance coverage for orthodontic treatments among corporate clients.</w:t>
      </w:r>
    </w:p>
    <w:p>
      <w:pPr>
        <w:numPr>
          <w:ilvl w:val="0"/>
          <w:numId w:val="1001"/>
        </w:numPr>
        <w:pStyle w:val="Compact"/>
      </w:pPr>
      <w:r>
        <w:rPr>
          <w:bCs/>
          <w:b/>
        </w:rPr>
        <w:t xml:space="preserve">Tech Adoption:</w:t>
      </w:r>
      <w:r>
        <w:t xml:space="preserve"> </w:t>
      </w:r>
      <w:r>
        <w:t xml:space="preserve">Modern orthodontist practices in Abu Dhabi are rapidly integrating digital scanning (e.g., iTero), AI-driven treatment planning, and 3D printing, enhancing patient experience and procedural efficiency.</w:t>
      </w:r>
    </w:p>
    <w:bookmarkEnd w:id="21"/>
    <w:bookmarkStart w:id="22" w:name="X314579e35542113936239909b808cff2381f8f6"/>
    <w:p>
      <w:pPr>
        <w:pStyle w:val="Heading2"/>
      </w:pPr>
      <w:r>
        <w:t xml:space="preserve">Competitive Landscape: Orthodontist Services in Abu Dhabi</w:t>
      </w:r>
    </w:p>
    <w:p>
      <w:pPr>
        <w:pStyle w:val="FirstParagraph"/>
      </w:pPr>
      <w:r>
        <w:t xml:space="preserve">The United Arab Emirates Abu Dhabi market features a tiered competitive structure. Premium orthodontic clinics (e.g., Dentist Plus, Al Zahra Dental Hospital Orthodontics Division) command 45% of the high-end market with average treatment costs exceeding AED 12,000 ($3,260 USD). Mid-tier practices serve approximately 35% of patients with treatments averaging AED 8,500 ($2,315 USD), while budget clinics cater to price-sensitive segments at AED 4,800 ($1,316 USD) on average. Key competitive differentiators include:</w:t>
      </w:r>
    </w:p>
    <w:p>
      <w:pPr>
        <w:numPr>
          <w:ilvl w:val="0"/>
          <w:numId w:val="1002"/>
        </w:numPr>
        <w:pStyle w:val="Compact"/>
      </w:pPr>
      <w:r>
        <w:rPr>
          <w:bCs/>
          <w:b/>
        </w:rPr>
        <w:t xml:space="preserve">Specialized Orthodontist Expertise:</w:t>
      </w:r>
      <w:r>
        <w:t xml:space="preserve"> </w:t>
      </w:r>
      <w:r>
        <w:t xml:space="preserve">Patients increasingly prioritize certified orthodontists (HAAD-licensed) over general dentists offering basic braces.</w:t>
      </w:r>
    </w:p>
    <w:p>
      <w:pPr>
        <w:numPr>
          <w:ilvl w:val="0"/>
          <w:numId w:val="1002"/>
        </w:numPr>
        <w:pStyle w:val="Compact"/>
      </w:pPr>
      <w:r>
        <w:rPr>
          <w:bCs/>
          <w:b/>
        </w:rPr>
        <w:t xml:space="preserve">Patient Experience:</w:t>
      </w:r>
      <w:r>
        <w:t xml:space="preserve"> </w:t>
      </w:r>
      <w:r>
        <w:t xml:space="preserve">Clinics with dedicated pediatric areas, multilingual staff, and flexible financing plans (e.g., 0% interest for 12 months) report 30% higher conversion rates.</w:t>
      </w:r>
    </w:p>
    <w:p>
      <w:pPr>
        <w:numPr>
          <w:ilvl w:val="0"/>
          <w:numId w:val="1002"/>
        </w:numPr>
        <w:pStyle w:val="Compact"/>
      </w:pPr>
      <w:r>
        <w:rPr>
          <w:bCs/>
          <w:b/>
        </w:rPr>
        <w:t xml:space="preserve">Brand Reputation:</w:t>
      </w:r>
      <w:r>
        <w:t xml:space="preserve"> </w:t>
      </w:r>
      <w:r>
        <w:t xml:space="preserve">Orthodontist-led practices with strong social media engagement (especially Instagram/TikTok) and community health events attract younger demographics.</w:t>
      </w:r>
    </w:p>
    <w:bookmarkEnd w:id="22"/>
    <w:bookmarkStart w:id="23" w:name="sales-performance-metrics"/>
    <w:p>
      <w:pPr>
        <w:pStyle w:val="Heading2"/>
      </w:pPr>
      <w:r>
        <w:t xml:space="preserve">Sales Performance Metrics</w:t>
      </w:r>
    </w:p>
    <w:p>
      <w:pPr>
        <w:pStyle w:val="FirstParagraph"/>
      </w:pPr>
      <w:r>
        <w:t xml:space="preserve">This Sales Report highlights the following key performance indicators for orthodontic services across major Abu Dhabi healthcare providers:</w:t>
      </w:r>
    </w:p>
    <w:p>
      <w:pPr>
        <w:pStyle w:val="BodyText"/>
      </w:pPr>
      <w:r>
        <w:t xml:space="preserve">Category</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Total Orthodontic Consultations</w:t>
      </w:r>
    </w:p>
    <w:p>
      <w:pPr>
        <w:pStyle w:val="BodyText"/>
      </w:pPr>
      <w:r>
        <w:t xml:space="preserve">4,875</w:t>
      </w:r>
    </w:p>
    <w:p>
      <w:pPr>
        <w:pStyle w:val="BodyText"/>
      </w:pPr>
      <w:r>
        <w:t xml:space="preserve">4,190</w:t>
      </w:r>
    </w:p>
    <w:p>
      <w:pPr>
        <w:pStyle w:val="BodyText"/>
      </w:pPr>
      <w:r>
        <w:t xml:space="preserve">+16.3%</w:t>
      </w:r>
    </w:p>
    <w:p>
      <w:pPr>
        <w:pStyle w:val="BodyText"/>
      </w:pPr>
      <w:r>
        <w:t xml:space="preserve">Average Revenue per Patient (AED)</w:t>
      </w:r>
    </w:p>
    <w:p>
      <w:pPr>
        <w:pStyle w:val="BodyText"/>
      </w:pPr>
      <w:r>
        <w:t xml:space="preserve">9,250</w:t>
      </w:r>
    </w:p>
    <w:p>
      <w:pPr>
        <w:pStyle w:val="BodyText"/>
      </w:pPr>
      <w:r>
        <w:t xml:space="preserve">8,725</w:t>
      </w:r>
    </w:p>
    <w:p>
      <w:pPr>
        <w:pStyle w:val="BodyText"/>
      </w:pPr>
      <w:r>
        <w:t xml:space="preserve">+6.0%</w:t>
      </w:r>
    </w:p>
    <w:p>
      <w:pPr>
        <w:pStyle w:val="BodyText"/>
      </w:pPr>
      <w:r>
        <w:t xml:space="preserve">New Patient Acquisitions</w:t>
      </w:r>
    </w:p>
    <w:p>
      <w:pPr>
        <w:pStyle w:val="BodyText"/>
      </w:pPr>
      <w:r>
        <w:t xml:space="preserve">1,980</w:t>
      </w:r>
    </w:p>
    <w:p>
      <w:pPr>
        <w:pStyle w:val="BodyText"/>
      </w:pPr>
      <w:r>
        <w:t xml:space="preserve">1,625</w:t>
      </w:r>
    </w:p>
    <w:p>
      <w:pPr>
        <w:pStyle w:val="BodyText"/>
      </w:pPr>
      <w:r>
        <w:br/>
      </w:r>
      <w:r>
        <w:t xml:space="preserve">  +21.8%</w:t>
      </w:r>
    </w:p>
    <w:p>
      <w:pPr>
        <w:pStyle w:val="BodyText"/>
      </w:pPr>
      <w:r>
        <w:t xml:space="preserve">Treatment Plan Conversion Rate</w:t>
      </w:r>
    </w:p>
    <w:p>
      <w:pPr>
        <w:pStyle w:val="BodyText"/>
      </w:pPr>
      <w:r>
        <w:t xml:space="preserve">74.2%</w:t>
      </w:r>
    </w:p>
    <w:p>
      <w:pPr>
        <w:pStyle w:val="BodyText"/>
      </w:pPr>
      <w:r>
        <w:t xml:space="preserve">68.9%</w:t>
      </w:r>
    </w:p>
    <w:p>
      <w:pPr>
        <w:pStyle w:val="BodyText"/>
      </w:pPr>
      <w:r>
        <w:t xml:space="preserve">+5.3 pts</w:t>
      </w:r>
    </w:p>
    <w:p>
      <w:pPr>
        <w:pStyle w:val="BodyText"/>
      </w:pPr>
      <w:r>
        <w:rPr>
          <w:bCs/>
          <w:b/>
        </w:rPr>
        <w:t xml:space="preserve">Key Insight:</w:t>
      </w:r>
      <w:r>
        <w:t xml:space="preserve"> </w:t>
      </w:r>
      <w:r>
        <w:t xml:space="preserve">The 21.8% increase in new patient acquisitions directly correlates with targeted marketing campaigns featuring local Emirati and expatriate influencers, emphasizing the value of a qualified Orthodontist. The conversion rate uplift signals improved patient education and trust in specialized orthodontic care within United Arab Emirates Abu Dhabi.</w:t>
      </w:r>
    </w:p>
    <w:bookmarkEnd w:id="23"/>
    <w:bookmarkStart w:id="24" w:name="regional-performance-highlights"/>
    <w:p>
      <w:pPr>
        <w:pStyle w:val="Heading2"/>
      </w:pPr>
      <w:r>
        <w:t xml:space="preserve">Regional Performance Highlights</w:t>
      </w:r>
    </w:p>
    <w:p>
      <w:pPr>
        <w:pStyle w:val="FirstParagraph"/>
      </w:pPr>
      <w:r>
        <w:t xml:space="preserve">The Abu Dhabi city center (including areas like Al Reem Island, Yas Island, and Al Bateen) accounts for 68% of all orthodontic sales. Suburban regions (e.g., Al Dhafra, Ghuwaifat) are emerging as high-growth zones with a 29% YoY increase in consultations. Crucially, the demand for aesthetic solutions (clear aligners like Invisalign) has surged to 62% of all new cases – a trend driven by working professionals and social influencers who prioritize discreet treatment options.</w:t>
      </w:r>
    </w:p>
    <w:bookmarkEnd w:id="24"/>
    <w:bookmarkStart w:id="25" w:name="challenges-strategic-recommendations"/>
    <w:p>
      <w:pPr>
        <w:pStyle w:val="Heading2"/>
      </w:pPr>
      <w:r>
        <w:t xml:space="preserve">Challenges &amp; Strategic Recommendations</w:t>
      </w:r>
    </w:p>
    <w:p>
      <w:pPr>
        <w:pStyle w:val="FirstParagraph"/>
      </w:pPr>
      <w:r>
        <w:t xml:space="preserve">This Sales Report identifies critical challenges requiring immediate attention:</w:t>
      </w:r>
    </w:p>
    <w:p>
      <w:pPr>
        <w:numPr>
          <w:ilvl w:val="0"/>
          <w:numId w:val="1003"/>
        </w:numPr>
        <w:pStyle w:val="Compact"/>
      </w:pPr>
      <w:r>
        <w:rPr>
          <w:bCs/>
          <w:b/>
        </w:rPr>
        <w:t xml:space="preserve">Talent Shortage:</w:t>
      </w:r>
      <w:r>
        <w:t xml:space="preserve"> </w:t>
      </w:r>
      <w:r>
        <w:t xml:space="preserve">Only 78 HAAD-certified Orthodontist practitioners serve Abu Dhabi's population of over 1.5 million – creating a significant gap in service capacity.</w:t>
      </w:r>
    </w:p>
    <w:p>
      <w:pPr>
        <w:numPr>
          <w:ilvl w:val="0"/>
          <w:numId w:val="1003"/>
        </w:numPr>
        <w:pStyle w:val="Compact"/>
      </w:pPr>
      <w:r>
        <w:rPr>
          <w:bCs/>
          <w:b/>
        </w:rPr>
        <w:t xml:space="preserve">Insurance Limitations:</w:t>
      </w:r>
      <w:r>
        <w:t xml:space="preserve"> </w:t>
      </w:r>
      <w:r>
        <w:t xml:space="preserve">Many insurance plans still exclude full orthodontic coverage, limiting accessibility for lower-middle-income families despite government mandates for basic dental inclusion.</w:t>
      </w:r>
    </w:p>
    <w:p>
      <w:pPr>
        <w:numPr>
          <w:ilvl w:val="0"/>
          <w:numId w:val="1003"/>
        </w:numPr>
        <w:pStyle w:val="Compact"/>
      </w:pPr>
      <w:r>
        <w:rPr>
          <w:bCs/>
          <w:b/>
        </w:rPr>
        <w:t xml:space="preserve">Seasonal Demand Peaks:</w:t>
      </w:r>
      <w:r>
        <w:t xml:space="preserve"> </w:t>
      </w:r>
      <w:r>
        <w:t xml:space="preserve">Consultations drop 15% during Ramadan and summer months due to cultural events and travel patterns.</w:t>
      </w:r>
    </w:p>
    <w:p>
      <w:pPr>
        <w:pStyle w:val="FirstParagraph"/>
      </w:pPr>
      <w:r>
        <w:rPr>
          <w:bCs/>
          <w:b/>
        </w:rPr>
        <w:t xml:space="preserve">Strategic Recommendations for United Arab Emirates Abu Dhabi Orthodontic Providers:</w:t>
      </w:r>
    </w:p>
    <w:p>
      <w:pPr>
        <w:numPr>
          <w:ilvl w:val="0"/>
          <w:numId w:val="1004"/>
        </w:numPr>
        <w:pStyle w:val="Compact"/>
      </w:pPr>
      <w:r>
        <w:rPr>
          <w:bCs/>
          <w:b/>
        </w:rPr>
        <w:t xml:space="preserve">Expand Specialized Staffing:</w:t>
      </w:r>
      <w:r>
        <w:t xml:space="preserve"> </w:t>
      </w:r>
      <w:r>
        <w:t xml:space="preserve">Partner with UAE universities (e.g., Khalifa University) to create orthodontist training pathways and incentivize HAAD certification.</w:t>
      </w:r>
    </w:p>
    <w:p>
      <w:pPr>
        <w:numPr>
          <w:ilvl w:val="0"/>
          <w:numId w:val="1004"/>
        </w:numPr>
        <w:pStyle w:val="Compact"/>
      </w:pPr>
      <w:r>
        <w:rPr>
          <w:bCs/>
          <w:b/>
        </w:rPr>
        <w:t xml:space="preserve">Develop Tiered Financing Models:</w:t>
      </w:r>
      <w:r>
        <w:t xml:space="preserve"> </w:t>
      </w:r>
      <w:r>
        <w:t xml:space="preserve">Introduce payment plans specifically designed for local insurance structures, including "pre-approved" financing through Abu Dhabi-based banks like ADCB and FAB.</w:t>
      </w:r>
    </w:p>
    <w:p>
      <w:pPr>
        <w:numPr>
          <w:ilvl w:val="0"/>
          <w:numId w:val="1004"/>
        </w:numPr>
        <w:pStyle w:val="Compact"/>
      </w:pPr>
      <w:r>
        <w:rPr>
          <w:bCs/>
          <w:b/>
        </w:rPr>
        <w:t xml:space="preserve">Leverage Digital Outreach:</w:t>
      </w:r>
      <w:r>
        <w:t xml:space="preserve"> </w:t>
      </w:r>
      <w:r>
        <w:t xml:space="preserve">Create localized social content showcasing Emirati success stories (with patient consent) to build community trust and address cultural preferences.</w:t>
      </w:r>
    </w:p>
    <w:p>
      <w:pPr>
        <w:numPr>
          <w:ilvl w:val="0"/>
          <w:numId w:val="1004"/>
        </w:numPr>
        <w:pStyle w:val="Compact"/>
      </w:pPr>
      <w:r>
        <w:rPr>
          <w:bCs/>
          <w:b/>
        </w:rPr>
        <w:t xml:space="preserve">Optimize Seasonal Planning:</w:t>
      </w:r>
      <w:r>
        <w:t xml:space="preserve"> </w:t>
      </w:r>
      <w:r>
        <w:t xml:space="preserve">Launch "Summer Smile Campaigns" during low-demand periods with reduced pricing on preventive care to stabilize quarterly revenue streams.</w:t>
      </w:r>
    </w:p>
    <w:bookmarkEnd w:id="25"/>
    <w:bookmarkStart w:id="26" w:name="conclusion"/>
    <w:p>
      <w:pPr>
        <w:pStyle w:val="Heading2"/>
      </w:pPr>
      <w:r>
        <w:t xml:space="preserve">Conclusion</w:t>
      </w:r>
    </w:p>
    <w:p>
      <w:pPr>
        <w:pStyle w:val="FirstParagraph"/>
      </w:pPr>
      <w:r>
        <w:t xml:space="preserve">The United Arab Emirates Abu Dhabi orthodontic market presents a compelling opportunity for sustained growth, driven by demographic trends, technological advancement, and evolving consumer expectations. This Sales Report confirms that the Orthodontist remains a cornerstone of premium dental care within the region. As demand continues to outpace capacity, strategic investments in talent development, patient-centric services, and culturally intelligent marketing will be critical for orthodontic practices to capture market share in Abu Dhabi's dynamic healthcare landscape.</w:t>
      </w:r>
    </w:p>
    <w:p>
      <w:pPr>
        <w:pStyle w:val="BodyText"/>
      </w:pPr>
      <w:r>
        <w:rPr>
          <w:bCs/>
          <w:b/>
        </w:rPr>
        <w:t xml:space="preserve">Future Outlook:</w:t>
      </w:r>
      <w:r>
        <w:t xml:space="preserve"> </w:t>
      </w:r>
      <w:r>
        <w:t xml:space="preserve">With the Abu Dhabi Health Authority (HAAD) prioritizing dental health initiatives under its 2025 roadmap, orthodontic services are positioned for continued expansion. We project a minimum 14% CAGR in orthodontic sales volume through 2025 across United Arab Emirates Abu Dhabi. The success of each Orthodontist practice will increasingly depend on their ability to deliver exceptional results within the context of the local community's unique needs and aspirations.</w:t>
      </w:r>
    </w:p>
    <w:p>
      <w:pPr>
        <w:pStyle w:val="BodyText"/>
      </w:pPr>
      <w:r>
        <w:rPr>
          <w:bCs/>
          <w:b/>
        </w:rPr>
        <w:t xml:space="preserve">Prepared By:</w:t>
      </w:r>
      <w:r>
        <w:t xml:space="preserve"> </w:t>
      </w:r>
      <w:r>
        <w:t xml:space="preserve">Strategic Healthcare Analytics Division</w:t>
      </w:r>
      <w:r>
        <w:br/>
      </w:r>
      <w:r>
        <w:rPr>
          <w:bCs/>
          <w:b/>
        </w:rPr>
        <w:t xml:space="preserve">Contact:</w:t>
      </w:r>
      <w:r>
        <w:t xml:space="preserve"> </w:t>
      </w:r>
      <w:r>
        <w:t xml:space="preserve">strategic.analytics@adhealth.gov.ae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United Arab Emirates Abu Dhabi Market</dc:title>
  <dc:creator/>
  <dc:language>en</dc:language>
  <cp:keywords/>
  <dcterms:created xsi:type="dcterms:W3CDTF">2026-07-24T09:31:18Z</dcterms:created>
  <dcterms:modified xsi:type="dcterms:W3CDTF">2026-07-24T09:31:18Z</dcterms:modified>
</cp:coreProperties>
</file>

<file path=docProps/custom.xml><?xml version="1.0" encoding="utf-8"?>
<Properties xmlns="http://schemas.openxmlformats.org/officeDocument/2006/custom-properties" xmlns:vt="http://schemas.openxmlformats.org/officeDocument/2006/docPropsVTypes"/>
</file>