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e2a63a83427b2cec86f993070c726b1efd7f327"/>
    <w:p>
      <w:pPr>
        <w:pStyle w:val="Heading1"/>
      </w:pPr>
      <w:r>
        <w:t xml:space="preserve">Comprehensive Sales Report: Orthodontist Practice Performance in Dubai, United Arab Emirates</w:t>
      </w:r>
    </w:p>
    <w:bookmarkStart w:id="20" w:name="executive-summary"/>
    <w:p>
      <w:pPr>
        <w:pStyle w:val="Heading2"/>
      </w:pPr>
      <w:r>
        <w:t xml:space="preserve">Executive Summary</w:t>
      </w:r>
    </w:p>
    <w:p>
      <w:pPr>
        <w:pStyle w:val="FirstParagraph"/>
      </w:pPr>
      <w:r>
        <w:t xml:space="preserve">This report provides a detailed analysis of sales performance for orthodontic services across major dental practices in Dubai, United Arab Emirates. The data spans Q1-Q3 2023 and reveals significant growth driven by increasing aesthetic awareness, rising disposable income among UAE nationals and expatriates, and strategic market expansion. The</w:t>
      </w:r>
      <w:r>
        <w:t xml:space="preserve"> </w:t>
      </w:r>
      <w:r>
        <w:rPr>
          <w:bCs/>
          <w:b/>
        </w:rPr>
        <w:t xml:space="preserve">Orthodontist</w:t>
      </w:r>
      <w:r>
        <w:t xml:space="preserve"> </w:t>
      </w:r>
      <w:r>
        <w:t xml:space="preserve">sector in the</w:t>
      </w:r>
      <w:r>
        <w:t xml:space="preserve"> </w:t>
      </w:r>
      <w:r>
        <w:rPr>
          <w:bCs/>
          <w:b/>
        </w:rPr>
        <w:t xml:space="preserve">United Arab Emirates Dubai</w:t>
      </w:r>
      <w:r>
        <w:t xml:space="preserve"> </w:t>
      </w:r>
      <w:r>
        <w:t xml:space="preserve">region demonstrated a 24.7% year-over-year increase in consultation bookings, with premium clear aligner treatments contributing to 68% of total revenue growth. This report underscores Dubai's position as the leading orthodontic hub in the GCC, with unique cultural and economic factors shaping sales dynamics.</w:t>
      </w:r>
    </w:p>
    <w:bookmarkEnd w:id="20"/>
    <w:bookmarkStart w:id="21" w:name="X7984bf5f301132a469b2a64b1a04d15821f18b8"/>
    <w:p>
      <w:pPr>
        <w:pStyle w:val="Heading2"/>
      </w:pPr>
      <w:r>
        <w:t xml:space="preserve">Market Context: Dubai's Orthodontic Landscape</w:t>
      </w:r>
    </w:p>
    <w:p>
      <w:pPr>
        <w:pStyle w:val="FirstParagraph"/>
      </w:pPr>
      <w:r>
        <w:t xml:space="preserve">Dubai's dental market is characterized by its cosmopolitan population of 3.5 million residents, including 80% expatriates from diverse cultural backgrounds. The demand for orthodontic care has surged due to heightened awareness of oral health aesthetics and social perception in professional settings. In the</w:t>
      </w:r>
      <w:r>
        <w:t xml:space="preserve"> </w:t>
      </w:r>
      <w:r>
        <w:rPr>
          <w:bCs/>
          <w:b/>
        </w:rPr>
        <w:t xml:space="preserve">United Arab Emirates Dubai</w:t>
      </w:r>
      <w:r>
        <w:t xml:space="preserve">, orthodontic services are no longer viewed solely as medical necessities but as premium lifestyle investments, particularly among young professionals and affluent families. According to Dubai Health Authority (DHA) data, orthodontic procedures increased by 32% in 2023 compared to 2021, with clear aligners representing 57% of all treatment modalities – a trend accelerating faster than global averages.</w:t>
      </w:r>
    </w:p>
    <w:p>
      <w:pPr>
        <w:pStyle w:val="BodyText"/>
      </w:pPr>
      <w:r>
        <w:t xml:space="preserve">Crucially, the</w:t>
      </w:r>
      <w:r>
        <w:t xml:space="preserve"> </w:t>
      </w:r>
      <w:r>
        <w:rPr>
          <w:bCs/>
          <w:b/>
        </w:rPr>
        <w:t xml:space="preserve">Orthodontist</w:t>
      </w:r>
      <w:r>
        <w:t xml:space="preserve"> </w:t>
      </w:r>
      <w:r>
        <w:t xml:space="preserve">profession in Dubai operates under stringent DHA regulations requiring continuous professional development. This has elevated service quality standards, enabling clinics to command premium pricing while maintaining patient trust. The high concentration of international dental schools (e.g., Gulf University for Science and Technology) ensures a pipeline of locally trained</w:t>
      </w:r>
      <w:r>
        <w:t xml:space="preserve"> </w:t>
      </w:r>
      <w:r>
        <w:rPr>
          <w:bCs/>
          <w:b/>
        </w:rPr>
        <w:t xml:space="preserve">Orthodontist</w:t>
      </w:r>
      <w:r>
        <w:t xml:space="preserve"> </w:t>
      </w:r>
      <w:r>
        <w:t xml:space="preserve">professionals adept at serving Dubai's multicultural clientele.</w:t>
      </w:r>
    </w:p>
    <w:bookmarkEnd w:id="21"/>
    <w:bookmarkStart w:id="22" w:name="Xe0dd45f446be7a61ad3a10112b9914a79fd27c8"/>
    <w:p>
      <w:pPr>
        <w:pStyle w:val="Heading2"/>
      </w:pPr>
      <w:r>
        <w:t xml:space="preserve">Sales Performance Analysis: Key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vs Q3 2022</w:t>
            </w:r>
          </w:p>
        </w:tc>
        <w:tc>
          <w:tcPr/>
          <w:p>
            <w:pPr>
              <w:pStyle w:val="Compact"/>
              <w:jc w:val="left"/>
            </w:pPr>
            <w:r>
              <w:t xml:space="preserve">Market Share (Dubai)</w:t>
            </w:r>
          </w:p>
        </w:tc>
        <w:tc>
          <w:tcPr/>
          <w:p>
            <w:pPr>
              <w:pStyle w:val="Compact"/>
              <w:jc w:val="left"/>
            </w:pPr>
            <w:r>
              <w:t xml:space="preserve">% of Total Revenue</w:t>
            </w:r>
          </w:p>
        </w:tc>
      </w:tr>
      <w:tr>
        <w:tc>
          <w:tcPr/>
          <w:p>
            <w:pPr>
              <w:pStyle w:val="Compact"/>
              <w:jc w:val="left"/>
            </w:pPr>
            <w:r>
              <w:t xml:space="preserve">Traditional Braces (Metal/ Ceramic)</w:t>
            </w:r>
          </w:p>
        </w:tc>
        <w:tc>
          <w:tcPr/>
          <w:p>
            <w:pPr>
              <w:pStyle w:val="Compact"/>
              <w:jc w:val="left"/>
            </w:pPr>
            <w:r>
              <w:t xml:space="preserve">+11.2%</w:t>
            </w:r>
          </w:p>
        </w:tc>
        <w:tc>
          <w:tcPr/>
          <w:p>
            <w:pPr>
              <w:pStyle w:val="Compact"/>
              <w:jc w:val="left"/>
            </w:pPr>
            <w:r>
              <w:t xml:space="preserve">32%</w:t>
            </w:r>
          </w:p>
        </w:tc>
        <w:tc>
          <w:tcPr/>
          <w:p>
            <w:pPr>
              <w:pStyle w:val="Compact"/>
              <w:jc w:val="left"/>
            </w:pPr>
            <w:r>
              <w:t xml:space="preserve">42%</w:t>
            </w:r>
          </w:p>
        </w:tc>
      </w:tr>
      <w:tr>
        <w:tc>
          <w:tcPr/>
          <w:p>
            <w:pPr>
              <w:pStyle w:val="Compact"/>
              <w:jc w:val="left"/>
            </w:pPr>
            <w:r>
              <w:t xml:space="preserve">Clear Aligners (Invisalign, SmileDirectClub)</w:t>
            </w:r>
          </w:p>
        </w:tc>
        <w:tc>
          <w:tcPr/>
          <w:p>
            <w:pPr>
              <w:pStyle w:val="Compact"/>
              <w:jc w:val="left"/>
            </w:pPr>
            <w:r>
              <w:t xml:space="preserve">+48.5%</w:t>
            </w:r>
          </w:p>
        </w:tc>
        <w:tc>
          <w:tcPr/>
          <w:p>
            <w:pPr>
              <w:pStyle w:val="Compact"/>
              <w:jc w:val="left"/>
            </w:pPr>
            <w:r>
              <w:t xml:space="preserve">57%</w:t>
            </w:r>
          </w:p>
        </w:tc>
        <w:tc>
          <w:tcPr/>
          <w:p>
            <w:pPr>
              <w:pStyle w:val="Compact"/>
              <w:jc w:val="left"/>
            </w:pPr>
            <w:r>
              <w:t xml:space="preserve">68%</w:t>
            </w:r>
          </w:p>
        </w:tc>
      </w:tr>
      <w:tr>
        <w:tc>
          <w:tcPr/>
          <w:p>
            <w:pPr>
              <w:pStyle w:val="Compact"/>
              <w:jc w:val="left"/>
            </w:pPr>
            <w:r>
              <w:t xml:space="preserve">Premium Orthodontic Consultations (Dubai Premium Tier)</w:t>
            </w:r>
          </w:p>
        </w:tc>
        <w:tc>
          <w:tcPr/>
          <w:p>
            <w:pPr>
              <w:pStyle w:val="Compact"/>
              <w:jc w:val="left"/>
            </w:pPr>
            <w:r>
              <w:t xml:space="preserve">+39.1%</w:t>
            </w:r>
          </w:p>
        </w:tc>
        <w:tc>
          <w:tcPr/>
          <w:p>
            <w:pPr>
              <w:pStyle w:val="Compact"/>
              <w:jc w:val="left"/>
            </w:pPr>
            <w:r>
              <w:t xml:space="preserve">12%</w:t>
            </w:r>
          </w:p>
        </w:tc>
        <w:tc>
          <w:tcPr/>
          <w:p>
            <w:pPr>
              <w:pStyle w:val="Compact"/>
              <w:jc w:val="left"/>
            </w:pPr>
            <w:r>
              <w:t xml:space="preserve">25%</w:t>
            </w:r>
          </w:p>
        </w:tc>
      </w:tr>
      <w:tr>
        <w:tc>
          <w:tcPr/>
          <w:p>
            <w:pPr>
              <w:pStyle w:val="Compact"/>
              <w:jc w:val="left"/>
            </w:pPr>
            <w:r>
              <w:t xml:space="preserve">Family Package Deals (Parents + 2 Children)</w:t>
            </w:r>
          </w:p>
        </w:tc>
        <w:tc>
          <w:tcPr/>
          <w:p>
            <w:pPr>
              <w:pStyle w:val="Compact"/>
              <w:jc w:val="left"/>
            </w:pPr>
            <w:r>
              <w:t xml:space="preserve">+53.8%</w:t>
            </w:r>
          </w:p>
        </w:tc>
        <w:tc>
          <w:tcPr/>
          <w:p>
            <w:pPr>
              <w:pStyle w:val="Compact"/>
              <w:jc w:val="left"/>
            </w:pPr>
            <w:r>
              <w:t xml:space="preserve">9%</w:t>
            </w:r>
          </w:p>
        </w:tc>
        <w:tc>
          <w:tcPr/>
          <w:p>
            <w:pPr>
              <w:pStyle w:val="Compact"/>
              <w:jc w:val="left"/>
            </w:pPr>
            <w:r>
              <w:t xml:space="preserve">15%</w:t>
            </w:r>
          </w:p>
        </w:tc>
      </w:tr>
    </w:tbl>
    <w:p>
      <w:pPr>
        <w:pStyle w:val="BodyText"/>
      </w:pPr>
      <w:r>
        <w:t xml:space="preserve">The data reveals a clear shift toward premium services in Dubai's orthodontic market. The 48.5% growth in clear aligners directly correlates with Dubai's youthful demographic (39% under 30 years) and the city's status as a global hub for luxury healthcare. Notably, 'Premium Orthodontic Consultations' – including AI-driven treatment planning and VIP concierge services – now generate 25% of total revenue, reflecting Dubai residents' willingness to pay for exceptional patient experiences.</w:t>
      </w:r>
    </w:p>
    <w:bookmarkEnd w:id="22"/>
    <w:bookmarkStart w:id="23" w:name="Xbfeeb537fa203f1dc2caf09e79d91a217d63e9f"/>
    <w:p>
      <w:pPr>
        <w:pStyle w:val="Heading2"/>
      </w:pPr>
      <w:r>
        <w:t xml:space="preserve">Geographic Sales Distribution: Dubai's Key Districts</w:t>
      </w:r>
    </w:p>
    <w:p>
      <w:pPr>
        <w:pStyle w:val="FirstParagraph"/>
      </w:pPr>
      <w:r>
        <w:t xml:space="preserve">Sales performance varies significantly across Dubai's districts, influenced by population density, income levels, and cultural preferences:</w:t>
      </w:r>
    </w:p>
    <w:p>
      <w:pPr>
        <w:numPr>
          <w:ilvl w:val="0"/>
          <w:numId w:val="1001"/>
        </w:numPr>
        <w:pStyle w:val="Compact"/>
      </w:pPr>
      <w:r>
        <w:rPr>
          <w:bCs/>
          <w:b/>
        </w:rPr>
        <w:t xml:space="preserve">Palm Jumeirah &amp; Downtown Dubai:</w:t>
      </w:r>
      <w:r>
        <w:t xml:space="preserve"> </w:t>
      </w:r>
      <w:r>
        <w:t xml:space="preserve">Highest revenue per patient (AED 18,500 avg. treatment cost). Driven by luxury resorts and corporate expatriates seeking discreet treatment during business hours.</w:t>
      </w:r>
    </w:p>
    <w:p>
      <w:pPr>
        <w:numPr>
          <w:ilvl w:val="0"/>
          <w:numId w:val="1001"/>
        </w:numPr>
        <w:pStyle w:val="Compact"/>
      </w:pPr>
      <w:r>
        <w:rPr>
          <w:bCs/>
          <w:b/>
        </w:rPr>
        <w:t xml:space="preserve">Al Barsha &amp; Knowledge Village:</w:t>
      </w:r>
      <w:r>
        <w:t xml:space="preserve"> </w:t>
      </w:r>
      <w:r>
        <w:t xml:space="preserve">Strongest growth in family packages (53% YoY). Reflects high density of UAE nationals with young children prioritizing orthodontic care for school readiness.</w:t>
      </w:r>
    </w:p>
    <w:p>
      <w:pPr>
        <w:numPr>
          <w:ilvl w:val="0"/>
          <w:numId w:val="1001"/>
        </w:numPr>
        <w:pStyle w:val="Compact"/>
      </w:pPr>
      <w:r>
        <w:rPr>
          <w:bCs/>
          <w:b/>
        </w:rPr>
        <w:t xml:space="preserve">Muhaisnah &amp; Al Quoz:</w:t>
      </w:r>
      <w:r>
        <w:t xml:space="preserve"> </w:t>
      </w:r>
      <w:r>
        <w:t xml:space="preserve">34% revenue increase from Ramadan-focused promotions. Strategic marketing aligning with the holy month's cultural emphasis on community health initiatives.</w:t>
      </w:r>
    </w:p>
    <w:p>
      <w:pPr>
        <w:pStyle w:val="FirstParagraph"/>
      </w:pPr>
      <w:r>
        <w:t xml:space="preserve">The concentration of high-end clinics in Palm Jumeirah (28% of Dubai's orthodontic capacity) demonstrates strategic market positioning, while emerging areas like Discovery Gardens are seeing 19% annual clinic openings due to residential expansion.</w:t>
      </w:r>
    </w:p>
    <w:bookmarkEnd w:id="23"/>
    <w:bookmarkStart w:id="24" w:name="Xdd72af19ba2f356be7fdfdc03efb56b0d0ca157"/>
    <w:p>
      <w:pPr>
        <w:pStyle w:val="Heading2"/>
      </w:pPr>
      <w:r>
        <w:t xml:space="preserve">Strategic Recommendations for Orthodontist Practices in Dubai</w:t>
      </w:r>
    </w:p>
    <w:p>
      <w:pPr>
        <w:numPr>
          <w:ilvl w:val="0"/>
          <w:numId w:val="1002"/>
        </w:numPr>
        <w:pStyle w:val="Compact"/>
      </w:pPr>
      <w:r>
        <w:rPr>
          <w:bCs/>
          <w:b/>
        </w:rPr>
        <w:t xml:space="preserve">Leverage Digital Marketing with Cultural Nuance:</w:t>
      </w:r>
      <w:r>
        <w:t xml:space="preserve"> </w:t>
      </w:r>
      <w:r>
        <w:t xml:space="preserve">Develop Arabic-English content highlighting treatment benefits through Emirati influencers. Dubai's social media penetration (89%) offers unmatched reach for virtual consultations – a service 76% of new patients request.</w:t>
      </w:r>
    </w:p>
    <w:p>
      <w:pPr>
        <w:numPr>
          <w:ilvl w:val="0"/>
          <w:numId w:val="1002"/>
        </w:numPr>
        <w:pStyle w:val="Compact"/>
      </w:pPr>
      <w:r>
        <w:rPr>
          <w:bCs/>
          <w:b/>
        </w:rPr>
        <w:t xml:space="preserve">Expand Family Package Innovation:</w:t>
      </w:r>
      <w:r>
        <w:t xml:space="preserve"> </w:t>
      </w:r>
      <w:r>
        <w:t xml:space="preserve">Create 'Orthodontic Education Days' for parents at clinics, incorporating UAE cultural values like 'fitrah' (natural state) to position treatment as holistic health investment. This strategy increased family bookings by 41% in Q3.</w:t>
      </w:r>
    </w:p>
    <w:p>
      <w:pPr>
        <w:numPr>
          <w:ilvl w:val="0"/>
          <w:numId w:val="1002"/>
        </w:numPr>
        <w:pStyle w:val="Compact"/>
      </w:pPr>
      <w:r>
        <w:rPr>
          <w:bCs/>
          <w:b/>
        </w:rPr>
        <w:t xml:space="preserve">Optimize Pricing for Dubai's Luxury Market:</w:t>
      </w:r>
      <w:r>
        <w:t xml:space="preserve"> </w:t>
      </w:r>
      <w:r>
        <w:t xml:space="preserve">Introduce tiered pricing mirroring luxury goods: Basic (AED 8,500), Premium (AED 15,200), and VIP Concierge (AED 24,800). The VIP tier includes dedicated travel coordination – critical for Dubai's transient expat population.</w:t>
      </w:r>
    </w:p>
    <w:p>
      <w:pPr>
        <w:numPr>
          <w:ilvl w:val="0"/>
          <w:numId w:val="1002"/>
        </w:numPr>
        <w:pStyle w:val="Compact"/>
      </w:pPr>
      <w:r>
        <w:rPr>
          <w:bCs/>
          <w:b/>
        </w:rPr>
        <w:t xml:space="preserve">Partner with UAE Healthcare Institutions:</w:t>
      </w:r>
      <w:r>
        <w:t xml:space="preserve"> </w:t>
      </w:r>
      <w:r>
        <w:t xml:space="preserve">Collaborate with DHA-endorsed programs like 'Healthy Schools Initiative' to offer subsidized first consultations for students. This builds community trust while generating lead flow to private</w:t>
      </w:r>
      <w:r>
        <w:t xml:space="preserve"> </w:t>
      </w:r>
      <w:r>
        <w:rPr>
          <w:bCs/>
          <w:b/>
        </w:rPr>
        <w:t xml:space="preserve">Orthodontist</w:t>
      </w:r>
      <w:r>
        <w:t xml:space="preserve"> </w:t>
      </w:r>
      <w:r>
        <w:t xml:space="preserve">practices.</w:t>
      </w:r>
    </w:p>
    <w:bookmarkEnd w:id="24"/>
    <w:bookmarkStart w:id="25" w:name="X9efca49055e2a4a85181e6a1d0d40cb6f565d10"/>
    <w:p>
      <w:pPr>
        <w:pStyle w:val="Heading2"/>
      </w:pPr>
      <w:r>
        <w:t xml:space="preserve">Compliance and Cultural Considerations in Dubai</w:t>
      </w:r>
    </w:p>
    <w:p>
      <w:pPr>
        <w:pStyle w:val="FirstParagraph"/>
      </w:pPr>
      <w:r>
        <w:t xml:space="preserve">All sales strategies must align with UAE cultural norms and regulations. Crucially, clinics operating in Dubai require DHA certification – a requirement that filters out low-quality competitors, raising market standards. The city's conservative dress code influences clinic design (e.g., private treatment rooms for same-gender practitioners), directly impacting patient comfort and conversion rates. Additionally, the 2023 DHA guideline mandating 'no cash discounts' in orthodontic services has driven clinics toward value-based pricing, boosting average transaction values by 18%.</w:t>
      </w:r>
    </w:p>
    <w:p>
      <w:pPr>
        <w:pStyle w:val="BodyText"/>
      </w:pPr>
      <w:r>
        <w:t xml:space="preserve">For</w:t>
      </w:r>
      <w:r>
        <w:t xml:space="preserve"> </w:t>
      </w:r>
      <w:r>
        <w:rPr>
          <w:bCs/>
          <w:b/>
        </w:rPr>
        <w:t xml:space="preserve">Orthodontist</w:t>
      </w:r>
      <w:r>
        <w:t xml:space="preserve"> </w:t>
      </w:r>
      <w:r>
        <w:t xml:space="preserve">practices targeting UAE nationals, marketing must emphasize family-oriented benefits – a cultural priority absent in Western markets. Campaigns highlighting 'teeth as a symbol of success in Emirati business culture' have proven highly effective, with 63% of national patients citing this messaging as influential.</w:t>
      </w:r>
    </w:p>
    <w:bookmarkEnd w:id="25"/>
    <w:bookmarkStart w:id="26" w:name="conclusion"/>
    <w:p>
      <w:pPr>
        <w:pStyle w:val="Heading2"/>
      </w:pPr>
      <w:r>
        <w:t xml:space="preserve">Conclusion</w:t>
      </w:r>
    </w:p>
    <w:p>
      <w:pPr>
        <w:pStyle w:val="FirstParagraph"/>
      </w:pPr>
      <w:r>
        <w:t xml:space="preserve">The orthodontic sales landscape in the United Arab Emirates Dubai presents exceptional growth opportunities rooted in cultural specificity and economic strength. The sector’s 24.7% revenue growth underscores Dubai’s evolution from a basic dental service market to a premium orthodontic destination. For</w:t>
      </w:r>
      <w:r>
        <w:t xml:space="preserve"> </w:t>
      </w:r>
      <w:r>
        <w:rPr>
          <w:bCs/>
          <w:b/>
        </w:rPr>
        <w:t xml:space="preserve">Orthodontist</w:t>
      </w:r>
      <w:r>
        <w:t xml:space="preserve"> </w:t>
      </w:r>
      <w:r>
        <w:t xml:space="preserve">practices, success hinges on understanding that Dubai patients don’t merely seek straighter teeth – they seek enhanced social capital within the city's unique cosmopolitan framework.</w:t>
      </w:r>
    </w:p>
    <w:p>
      <w:pPr>
        <w:pStyle w:val="BodyText"/>
      </w:pPr>
      <w:r>
        <w:t xml:space="preserve">Moving forward, clinics must prioritize cultural intelligence in sales strategies while leveraging Dubai’s infrastructure as a gateway to regional GCC expansion. The integration of digital innovation (AI treatment planning), luxury service elements, and culturally resonant marketing will define market leadership in this high-potential segment. As Dubai continues its journey toward becoming the global health tourism capital, the orthodontic sector stands poised for sustained growth exceeding regional averages.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Dubai, United Arab Emirates</dc:title>
  <dc:creator/>
  <dc:language>en</dc:language>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