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Birmingham</w:t>
      </w:r>
    </w:p>
    <w:bookmarkStart w:id="32" w:name="Xf55a4b36abd22493640bc027e0c648f81eb591f"/>
    <w:p>
      <w:pPr>
        <w:pStyle w:val="Heading1"/>
      </w:pPr>
      <w:r>
        <w:t xml:space="preserve">Quarterly Sales Report: Orthodontic Practice Performance in United Kingdom Birmingham</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orthodontic practice across the United Kingdom Birmingham market for Q3 2023. The report demonstrates significant growth in patient acquisition, treatment completion rates, and revenue generation, establishing our position as a leading</w:t>
      </w:r>
      <w:r>
        <w:t xml:space="preserve"> </w:t>
      </w:r>
      <w:r>
        <w:rPr>
          <w:bCs/>
          <w:b/>
        </w:rPr>
        <w:t xml:space="preserve">Orthodontist</w:t>
      </w:r>
      <w:r>
        <w:t xml:space="preserve"> </w:t>
      </w:r>
      <w:r>
        <w:t xml:space="preserve">provider within Birmingham's competitive dental healthcare landscape. With the population of Birmingham exceeding 1.2 million residents and a growing demand for cosmetic dentistry, our practice has strategically capitalised on this opportunity to deliver exceptional orthodontic care.</w:t>
      </w:r>
    </w:p>
    <w:p>
      <w:pPr>
        <w:pStyle w:val="BodyText"/>
      </w:pPr>
      <w:r>
        <w:t xml:space="preserve">The United Kingdom Birmingham market presents unique opportunities and challenges for any</w:t>
      </w:r>
      <w:r>
        <w:t xml:space="preserve"> </w:t>
      </w:r>
      <w:r>
        <w:rPr>
          <w:bCs/>
          <w:b/>
        </w:rPr>
        <w:t xml:space="preserve">Orthodontist</w:t>
      </w:r>
      <w:r>
        <w:t xml:space="preserve">. This Sales Report provides actionable insights into our performance metrics, patient demographics, service adoption trends, and strategic initiatives that have driven success in this specific regional context. Our focus on personalised care within the United Kingdom Birmingham community has directly contributed to a 22% year-on-year increase in new patient consultations.</w:t>
      </w:r>
    </w:p>
    <w:bookmarkEnd w:id="20"/>
    <w:bookmarkStart w:id="21" w:name="Xebdc04db0bdfb9dc5c998e668701a54c7b83583"/>
    <w:p>
      <w:pPr>
        <w:pStyle w:val="Heading2"/>
      </w:pPr>
      <w:r>
        <w:t xml:space="preserve">Market Overview: Orthodontic Demand in United Kingdom Birmingham</w:t>
      </w:r>
    </w:p>
    <w:p>
      <w:pPr>
        <w:pStyle w:val="FirstParagraph"/>
      </w:pPr>
      <w:r>
        <w:t xml:space="preserve">Birmingham, as the second-largest city in the United Kingdom, represents a critical market for orthodontic services. The city's diverse demographic profile—including a large young population (under 35 years) and significant Asian and African-Caribbean communities—has driven demand for both traditional braces and modern clear aligner systems. According to recent UK dental statistics, Birmingham sees approximately 15% of all orthodontic consultations in the West Midlands region.</w:t>
      </w:r>
    </w:p>
    <w:p>
      <w:pPr>
        <w:pStyle w:val="BodyText"/>
      </w:pPr>
      <w:r>
        <w:rPr>
          <w:bCs/>
          <w:b/>
        </w:rPr>
        <w:t xml:space="preserve">Key Market Insight:</w:t>
      </w:r>
      <w:r>
        <w:t xml:space="preserve"> </w:t>
      </w:r>
      <w:r>
        <w:t xml:space="preserve">In the United Kingdom Birmingham area, 68% of new orthodontic patients are aged between 12-25 years, with a notable 35% of adult patients seeking treatment for cosmetic reasons (primarily Invisalign®), reflecting broader societal trends towards aesthetic dentistry.</w:t>
      </w:r>
    </w:p>
    <w:p>
      <w:pPr>
        <w:pStyle w:val="BodyText"/>
      </w:pPr>
      <w:r>
        <w:t xml:space="preserve">This demand is further amplified by the absence of NHS orthodontic treatment for most adults in England, pushing the market heavily towards private healthcare providers. Our</w:t>
      </w:r>
      <w:r>
        <w:t xml:space="preserve"> </w:t>
      </w:r>
      <w:r>
        <w:rPr>
          <w:bCs/>
          <w:b/>
        </w:rPr>
        <w:t xml:space="preserve">Orthodontist</w:t>
      </w:r>
      <w:r>
        <w:t xml:space="preserve"> </w:t>
      </w:r>
      <w:r>
        <w:t xml:space="preserve">practice has positioned itself to meet this need through flexible payment plans and targeted community engagement initiatives.</w:t>
      </w:r>
    </w:p>
    <w:bookmarkEnd w:id="21"/>
    <w:bookmarkStart w:id="25" w:name="X5455e61ed8200049e07c000a45139ae928ce29f"/>
    <w:p>
      <w:pPr>
        <w:pStyle w:val="Heading2"/>
      </w:pPr>
      <w:r>
        <w:t xml:space="preserve">Performance Metrics: Sales Report Analysis</w:t>
      </w:r>
    </w:p>
    <w:p>
      <w:pPr>
        <w:pStyle w:val="FirstParagraph"/>
      </w:pPr>
      <w:r>
        <w:t xml:space="preserve">This Q3 2023 Sales Report reveals robust financial and operational results. Below is a breakdown of key performance indicators specific to our Birmingham practice:</w:t>
      </w:r>
    </w:p>
    <w:bookmarkStart w:id="22" w:name="new-patient-acquisition"/>
    <w:p>
      <w:pPr>
        <w:pStyle w:val="Heading3"/>
      </w:pPr>
      <w:r>
        <w:t xml:space="preserve">New Patient Acquisition</w:t>
      </w:r>
    </w:p>
    <w:p>
      <w:pPr>
        <w:pStyle w:val="FirstParagraph"/>
      </w:pPr>
      <w:r>
        <w:t xml:space="preserve">• Total New Consultations: 148 (vs. 120 in Q3 2022) –</w:t>
      </w:r>
      <w:r>
        <w:t xml:space="preserve"> </w:t>
      </w:r>
      <w:r>
        <w:rPr>
          <w:bCs/>
          <w:b/>
        </w:rPr>
        <w:t xml:space="preserve">↑ 23.3%</w:t>
      </w:r>
      <w:r>
        <w:br/>
      </w:r>
      <w:r>
        <w:t xml:space="preserve">• Referral Rate from General Practitioners: Increased to 47% (from 39% last year)</w:t>
      </w:r>
      <w:r>
        <w:br/>
      </w:r>
      <w:r>
        <w:t xml:space="preserve">• Local Marketing Campaign Effectiveness: Social media campaigns targeting Birmingham residents generated a 18% conversion rate</w:t>
      </w:r>
    </w:p>
    <w:bookmarkEnd w:id="22"/>
    <w:bookmarkStart w:id="23" w:name="treatment-progression-revenue"/>
    <w:p>
      <w:pPr>
        <w:pStyle w:val="Heading3"/>
      </w:pPr>
      <w:r>
        <w:t xml:space="preserve">Treatment Progression &amp; Revenue</w:t>
      </w:r>
    </w:p>
    <w:p>
      <w:pPr>
        <w:pStyle w:val="FirstParagraph"/>
      </w:pPr>
      <w:r>
        <w:t xml:space="preserve">• Total Active Cases Completed: 89 (↑ 28.5% YoY)</w:t>
      </w:r>
      <w:r>
        <w:br/>
      </w:r>
      <w:r>
        <w:t xml:space="preserve">• Average Treatment Length: Reduced to 24 months (from 26 months in Q3 2021)</w:t>
      </w:r>
      <w:r>
        <w:br/>
      </w:r>
      <w:r>
        <w:t xml:space="preserve">• Average Revenue per Case: £3,850 (£5,000 for Invisalign® vs £3,150 for traditional braces)</w:t>
      </w:r>
      <w:r>
        <w:br/>
      </w:r>
      <w:r>
        <w:t xml:space="preserve">• Total Revenue Generated: £478,956 (↑ 26.7% YoY)</w:t>
      </w:r>
    </w:p>
    <w:bookmarkEnd w:id="23"/>
    <w:bookmarkStart w:id="24" w:name="customer-satisfaction"/>
    <w:p>
      <w:pPr>
        <w:pStyle w:val="Heading3"/>
      </w:pPr>
      <w:r>
        <w:t xml:space="preserve">Customer Satisfaction</w:t>
      </w:r>
    </w:p>
    <w:p>
      <w:pPr>
        <w:pStyle w:val="FirstParagraph"/>
      </w:pPr>
      <w:r>
        <w:t xml:space="preserve">• Patient Satisfaction Score (NPS): 89/100</w:t>
      </w:r>
      <w:r>
        <w:br/>
      </w:r>
      <w:r>
        <w:t xml:space="preserve">• Repeat Referrals: 52% of new patients came via word-of-mouth from existing patients within Birmingham</w:t>
      </w:r>
      <w:r>
        <w:br/>
      </w:r>
      <w:r>
        <w:t xml:space="preserve">• Review Rating: 4.9/5 on Google and Trustpilot (based on 67 reviews from United Kingdom Birmingham patients)</w:t>
      </w:r>
    </w:p>
    <w:p>
      <w:pPr>
        <w:pStyle w:val="BodyText"/>
      </w:pPr>
      <w:r>
        <w:rPr>
          <w:bCs/>
          <w:b/>
        </w:rPr>
        <w:t xml:space="preserve">Strategic Achievement:</w:t>
      </w:r>
      <w:r>
        <w:t xml:space="preserve"> </w:t>
      </w:r>
      <w:r>
        <w:t xml:space="preserve">Our practice became the first in United Kingdom Birmingham to implement a fully digital patient journey (from virtual consultation to treatment tracking via app), directly contributing to a 32% reduction in no-show rates and enhanced patient experience.</w:t>
      </w:r>
    </w:p>
    <w:bookmarkEnd w:id="24"/>
    <w:bookmarkEnd w:id="25"/>
    <w:bookmarkStart w:id="26" w:name="competitive-landscape-analysis"/>
    <w:p>
      <w:pPr>
        <w:pStyle w:val="Heading2"/>
      </w:pPr>
      <w:r>
        <w:t xml:space="preserve">Competitive Landscape Analysis</w:t>
      </w:r>
    </w:p>
    <w:p>
      <w:pPr>
        <w:pStyle w:val="FirstParagraph"/>
      </w:pPr>
      <w:r>
        <w:t xml:space="preserve">The orthodontic sector in Birmingham is highly competitive, with approximately 17 dedicated orthodontic practices operating across the city. Key competitors include established chains (e.g., The Orthodontic Centre Birmingham) and independent practices like "Birmingham Orthodontic Specialists."</w:t>
      </w:r>
    </w:p>
    <w:p>
      <w:pPr>
        <w:pStyle w:val="BodyText"/>
      </w:pPr>
      <w:r>
        <w:t xml:space="preserve">Our Sales Report identifies three critical differentiators that have driven our market share growth:</w:t>
      </w:r>
    </w:p>
    <w:p>
      <w:pPr>
        <w:numPr>
          <w:ilvl w:val="0"/>
          <w:numId w:val="1001"/>
        </w:numPr>
        <w:pStyle w:val="Compact"/>
      </w:pPr>
      <w:r>
        <w:rPr>
          <w:bCs/>
          <w:b/>
        </w:rPr>
        <w:t xml:space="preserve">Community Integration:</w:t>
      </w:r>
      <w:r>
        <w:t xml:space="preserve"> </w:t>
      </w:r>
      <w:r>
        <w:t xml:space="preserve">Sponsorship of local schools' sports events and free dental check-up days at Birmingham community centres</w:t>
      </w:r>
    </w:p>
    <w:p>
      <w:pPr>
        <w:numPr>
          <w:ilvl w:val="0"/>
          <w:numId w:val="1001"/>
        </w:numPr>
        <w:pStyle w:val="Compact"/>
      </w:pPr>
      <w:r>
        <w:rPr>
          <w:bCs/>
          <w:b/>
        </w:rPr>
        <w:t xml:space="preserve">Treatment Flexibility:</w:t>
      </w:r>
      <w:r>
        <w:t xml:space="preserve"> </w:t>
      </w:r>
      <w:r>
        <w:t xml:space="preserve">Offering hybrid treatment plans (e.g., Invisalign® for primary treatment with minor traditional adjustments)</w:t>
      </w:r>
    </w:p>
    <w:p>
      <w:pPr>
        <w:numPr>
          <w:ilvl w:val="0"/>
          <w:numId w:val="1001"/>
        </w:numPr>
        <w:pStyle w:val="Compact"/>
      </w:pPr>
      <w:r>
        <w:rPr>
          <w:bCs/>
          <w:b/>
        </w:rPr>
        <w:t xml:space="preserve">Clinical Excellence:</w:t>
      </w:r>
      <w:r>
        <w:t xml:space="preserve"> </w:t>
      </w:r>
      <w:r>
        <w:t xml:space="preserve">All our Orthodontists hold specialist accreditation from the General Dental Council (GDC) and participate in quarterly UK orthodontic workshops</w:t>
      </w:r>
    </w:p>
    <w:p>
      <w:pPr>
        <w:pStyle w:val="FirstParagraph"/>
      </w:pPr>
      <w:r>
        <w:t xml:space="preserve">This focus on Birmingham-specific community engagement has resulted in us capturing 18% market share within the private orthodontic sector—up from 14% in Q3 2022.</w:t>
      </w:r>
    </w:p>
    <w:bookmarkEnd w:id="26"/>
    <w:bookmarkStart w:id="30" w:name="Xd650810b6e39fc9acfbb1f77d0aa4ed43aedf2a"/>
    <w:p>
      <w:pPr>
        <w:pStyle w:val="Heading2"/>
      </w:pPr>
      <w:r>
        <w:t xml:space="preserve">Strategic Recommendations for United Kingdom Birmingham Market</w:t>
      </w:r>
    </w:p>
    <w:p>
      <w:pPr>
        <w:pStyle w:val="FirstParagraph"/>
      </w:pPr>
      <w:r>
        <w:t xml:space="preserve">Based on this Sales Report, we recommend the following initiatives for sustainable growth in the Birmingham market:</w:t>
      </w:r>
    </w:p>
    <w:bookmarkStart w:id="27" w:name="targeted-adult-orthodontic-marketing"/>
    <w:p>
      <w:pPr>
        <w:pStyle w:val="Heading3"/>
      </w:pPr>
      <w:r>
        <w:t xml:space="preserve">1. Targeted Adult Orthodontic Marketing</w:t>
      </w:r>
    </w:p>
    <w:p>
      <w:pPr>
        <w:pStyle w:val="FirstParagraph"/>
      </w:pPr>
      <w:r>
        <w:t xml:space="preserve">Given that 45% of our new cases in Q3 were adult patients (compared to 28% nationally), we will launch a dedicated "Adult Smile Transformation" campaign focusing on working professionals across Birmingham city centre. This includes flexible evening/weekend appointments and employer partnership schemes.</w:t>
      </w:r>
    </w:p>
    <w:bookmarkEnd w:id="27"/>
    <w:bookmarkStart w:id="28" w:name="expanded-digital-presence"/>
    <w:p>
      <w:pPr>
        <w:pStyle w:val="Heading3"/>
      </w:pPr>
      <w:r>
        <w:t xml:space="preserve">2. Expanded Digital Presence</w:t>
      </w:r>
    </w:p>
    <w:p>
      <w:pPr>
        <w:pStyle w:val="FirstParagraph"/>
      </w:pPr>
      <w:r>
        <w:t xml:space="preserve">Develop an enhanced local SEO strategy targeting "Orthodontist in Birmingham" and related keywords, with content addressing common concerns specific to Birmingham residents (e.g., "Affordable braces near me," "Best Invisalign provider in Birmingham City Centre").</w:t>
      </w:r>
    </w:p>
    <w:bookmarkEnd w:id="28"/>
    <w:bookmarkStart w:id="29" w:name="referral-programme-enhancement"/>
    <w:p>
      <w:pPr>
        <w:pStyle w:val="Heading3"/>
      </w:pPr>
      <w:r>
        <w:t xml:space="preserve">3. Referral Programme Enhancement</w:t>
      </w:r>
    </w:p>
    <w:p>
      <w:pPr>
        <w:pStyle w:val="FirstParagraph"/>
      </w:pPr>
      <w:r>
        <w:t xml:space="preserve">Introduce a structured referral programme for both GPs and existing patients, offering £50 credit per successful referral to bolster community trust within the United Kingdom Birmingham healthcare network.</w:t>
      </w:r>
    </w:p>
    <w:p>
      <w:pPr>
        <w:pStyle w:val="BodyText"/>
      </w:pPr>
      <w:r>
        <w:rPr>
          <w:bCs/>
          <w:b/>
        </w:rPr>
        <w:t xml:space="preserve">Financial Projection:</w:t>
      </w:r>
      <w:r>
        <w:t xml:space="preserve"> </w:t>
      </w:r>
      <w:r>
        <w:t xml:space="preserve">Implementing these strategies is projected to increase annual revenue by 18-22% in 2024, with particular emphasis on capturing market share from competitors lacking robust digital and community engagement frameworks within United Kingdom Birmingham.</w:t>
      </w:r>
    </w:p>
    <w:bookmarkEnd w:id="29"/>
    <w:bookmarkEnd w:id="30"/>
    <w:bookmarkStart w:id="31" w:name="conclusion"/>
    <w:p>
      <w:pPr>
        <w:pStyle w:val="Heading2"/>
      </w:pPr>
      <w:r>
        <w:t xml:space="preserve">Conclusion</w:t>
      </w:r>
    </w:p>
    <w:p>
      <w:pPr>
        <w:pStyle w:val="FirstParagraph"/>
      </w:pPr>
      <w:r>
        <w:t xml:space="preserve">This Sales Report conclusively demonstrates the strong position of our orthodontic practice within the United Kingdom Birmingham market. The consistent growth in patient acquisition, revenue generation, and community trust underscores our effective implementation of strategies tailored to Birmingham's unique demographic and cultural landscape.</w:t>
      </w:r>
    </w:p>
    <w:p>
      <w:pPr>
        <w:pStyle w:val="BodyText"/>
      </w:pPr>
      <w:r>
        <w:t xml:space="preserve">As a leading</w:t>
      </w:r>
      <w:r>
        <w:t xml:space="preserve"> </w:t>
      </w:r>
      <w:r>
        <w:rPr>
          <w:bCs/>
          <w:b/>
        </w:rPr>
        <w:t xml:space="preserve">Orthodontist</w:t>
      </w:r>
      <w:r>
        <w:t xml:space="preserve"> </w:t>
      </w:r>
      <w:r>
        <w:t xml:space="preserve">provider in Birmingham, we have not only met but exceeded our Q3 targets by focusing on clinical excellence paired with genuine community investment. The data presented—particularly the 22% year-on-year growth in new patient consultations and 89 NPS score—validates our approach to serving Birmingham residents through accessible, high-quality orthodontic care.</w:t>
      </w:r>
    </w:p>
    <w:p>
      <w:pPr>
        <w:pStyle w:val="BodyText"/>
      </w:pPr>
      <w:r>
        <w:t xml:space="preserve">Looking ahead, our commitment remains unwavering: to be the most trusted Orthodontist practice for families across United Kingdom Birmingham, continually evolving our services to meet the changing needs of this dynamic city. The insights within this Sales Report will directly inform our strategic roadmap for 2024 and beyond.</w:t>
      </w:r>
    </w:p>
    <w:bookmarkEnd w:id="31"/>
    <w:p>
      <w:pPr>
        <w:pStyle w:val="BodyText"/>
      </w:pPr>
      <w:r>
        <w:rPr>
          <w:bCs/>
          <w:b/>
        </w:rPr>
        <w:t xml:space="preserve">Prepared By:</w:t>
      </w:r>
      <w:r>
        <w:t xml:space="preserve"> </w:t>
      </w:r>
      <w:r>
        <w:t xml:space="preserve">Birmingham Orthodontic Solutions Management Team</w:t>
      </w:r>
    </w:p>
    <w:p>
      <w:pPr>
        <w:pStyle w:val="BodyText"/>
      </w:pPr>
      <w:r>
        <w:rPr>
          <w:bCs/>
          <w:b/>
        </w:rPr>
        <w:t xml:space="preserve">Date:</w:t>
      </w:r>
      <w:r>
        <w:t xml:space="preserve"> </w:t>
      </w:r>
      <w:r>
        <w:t xml:space="preserve">October 26, 2023</w:t>
      </w:r>
    </w:p>
    <w:p>
      <w:pPr>
        <w:pStyle w:val="BodyText"/>
      </w:pPr>
      <w:r>
        <w:rPr>
          <w:iCs/>
          <w:i/>
        </w:rPr>
        <w:t xml:space="preserve">This report details performance metrics specific to our orthodontic practice operating within the United Kingdom Birmingham market. All figures are illustrative and representative of Q3 2023 operations.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United Kingdom Birmingham</dc:title>
  <dc:creator/>
  <dc:language>en</dc:language>
  <cp:keywords/>
  <dcterms:created xsi:type="dcterms:W3CDTF">2026-07-24T11:09:56Z</dcterms:created>
  <dcterms:modified xsi:type="dcterms:W3CDTF">2026-07-24T11:09:56Z</dcterms:modified>
</cp:coreProperties>
</file>

<file path=docProps/custom.xml><?xml version="1.0" encoding="utf-8"?>
<Properties xmlns="http://schemas.openxmlformats.org/officeDocument/2006/custom-properties" xmlns:vt="http://schemas.openxmlformats.org/officeDocument/2006/docPropsVTypes"/>
</file>