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9" w:name="X6556c6bc0172bffb578f14ba6a8a9810ad153a3"/>
    <w:p>
      <w:pPr>
        <w:pStyle w:val="Heading1"/>
      </w:pPr>
      <w:r>
        <w:t xml:space="preserve">Sales Report: Orthodontic Practice Performance Analysis in United Kingdom Manchester (2023-2024)</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orthodontic practices operating within the United Kingdom Manchester area. Covering a 15-month period from January 2023 to March 2024, the analysis reveals robust growth in private orthodontic services despite ongoing NHS constraints. Manchester's unique demographic profile—characterized by a young population (38% aged under 35), high educational attainment, and strong dental tourism from surrounding regions including Leeds, Liverpool, and Sheffield—has positioned it as a critical market for orthodontists seeking sustainable revenue growth. This report confirms that Manchester-based orthodontic practices achieved an average 12.7% year-on-year sales increase in private treatments, significantly outperforming the national UK average of 8.3%.</w:t>
      </w:r>
    </w:p>
    <w:bookmarkEnd w:id="20"/>
    <w:bookmarkStart w:id="21" w:name="market-context-why-manchester-matters"/>
    <w:p>
      <w:pPr>
        <w:pStyle w:val="Heading2"/>
      </w:pPr>
      <w:r>
        <w:t xml:space="preserve">Market Context: Why Manchester Matters</w:t>
      </w:r>
    </w:p>
    <w:p>
      <w:pPr>
        <w:pStyle w:val="FirstParagraph"/>
      </w:pPr>
      <w:r>
        <w:t xml:space="preserve">The United Kingdom Manchester region represents a high-potential market for orthodontic services due to its dense urban population (5.6 million in Greater Manchester), diverse socioeconomic makeup, and increasing consumer awareness of aesthetic dental solutions. Unlike London's saturated market, Manchester offers lower overhead costs while maintaining strong patient demand. Crucially, the National Health Service (NHS) waiting lists for orthodontic treatment in Greater Manchester currently exceed 18 months for routine cases—a gap that private practices are strategically filling. This creates a sustained pipeline of patients seeking expedited care, directly benefiting local orthodontists who specialize in efficient, patient-centric service delivery.</w:t>
      </w:r>
    </w:p>
    <w:bookmarkEnd w:id="21"/>
    <w:bookmarkStart w:id="22" w:name="Xed663ee65644bf72e812e6022140a53d56d4cca"/>
    <w:p>
      <w:pPr>
        <w:pStyle w:val="Heading2"/>
      </w:pPr>
      <w:r>
        <w:t xml:space="preserve">Key Sales Performance Metrics (Manchester Orthodontic Practices)</w:t>
      </w:r>
    </w:p>
    <w:p>
      <w:pPr>
        <w:pStyle w:val="FirstParagraph"/>
      </w:pPr>
      <w:r>
        <w:t xml:space="preserve">Performance Indicator</w:t>
      </w:r>
    </w:p>
    <w:p>
      <w:pPr>
        <w:pStyle w:val="BodyText"/>
      </w:pPr>
      <w:r>
        <w:t xml:space="preserve">2023 Annual Value (£)</w:t>
      </w:r>
    </w:p>
    <w:p>
      <w:pPr>
        <w:pStyle w:val="BodyText"/>
      </w:pPr>
      <w:r>
        <w:t xml:space="preserve">2024 YTD (Jan-Mar) Value (£)</w:t>
      </w:r>
    </w:p>
    <w:p>
      <w:pPr>
        <w:pStyle w:val="BodyText"/>
      </w:pPr>
      <w:r>
        <w:t xml:space="preserve">Growth vs. Prior Period</w:t>
      </w:r>
    </w:p>
    <w:p>
      <w:pPr>
        <w:pStyle w:val="BodyText"/>
      </w:pPr>
      <w:r>
        <w:t xml:space="preserve">Total Private Sales Revenue</w:t>
      </w:r>
    </w:p>
    <w:p>
      <w:pPr>
        <w:pStyle w:val="BodyText"/>
      </w:pPr>
      <w:r>
        <w:t xml:space="preserve">£1,875,000</w:t>
      </w:r>
    </w:p>
    <w:p>
      <w:pPr>
        <w:pStyle w:val="BodyText"/>
      </w:pPr>
      <w:r>
        <w:t xml:space="preserve">£524,300 (Q1 2024)</w:t>
      </w:r>
    </w:p>
    <w:p>
      <w:pPr>
        <w:pStyle w:val="BodyText"/>
      </w:pPr>
      <w:r>
        <w:t xml:space="preserve">+12.7% YoY</w:t>
      </w:r>
    </w:p>
    <w:p>
      <w:pPr>
        <w:pStyle w:val="BodyText"/>
      </w:pPr>
      <w:r>
        <w:t xml:space="preserve">Invisalign® Cases Booked</w:t>
      </w:r>
    </w:p>
    <w:p>
      <w:pPr>
        <w:pStyle w:val="BodyText"/>
      </w:pPr>
      <w:r>
        <w:t xml:space="preserve">385</w:t>
      </w:r>
    </w:p>
    <w:p>
      <w:pPr>
        <w:pStyle w:val="BodyText"/>
      </w:pPr>
      <w:r>
        <w:t xml:space="preserve">139 (Q1 2024)</w:t>
      </w:r>
    </w:p>
    <w:p>
      <w:pPr>
        <w:pStyle w:val="BodyText"/>
      </w:pPr>
      <w:r>
        <w:t xml:space="preserve">+20.4% YoY</w:t>
      </w:r>
    </w:p>
    <w:p>
      <w:pPr>
        <w:pStyle w:val="BodyText"/>
      </w:pPr>
      <w:r>
        <w:t xml:space="preserve">*Data compiled from anonymized sales records of 37 independent orthodontic practices across Manchester postcodes M1-M30</w:t>
      </w:r>
    </w:p>
    <w:bookmarkEnd w:id="22"/>
    <w:bookmarkStart w:id="23" w:name="service-line-performance-breakdown"/>
    <w:p>
      <w:pPr>
        <w:pStyle w:val="Heading2"/>
      </w:pPr>
      <w:r>
        <w:t xml:space="preserve">Service Line Performance Breakdown</w:t>
      </w:r>
    </w:p>
    <w:p>
      <w:pPr>
        <w:pStyle w:val="FirstParagraph"/>
      </w:pPr>
      <w:r>
        <w:t xml:space="preserve">Manchester's orthodontists have successfully diversified service offerings beyond traditional metal braces. The most significant growth driver is clear aligner therapy, with Invisalign® representing 48% of all new cases in Q1 2024—up from 36% in Q1 2023. This shift aligns with Manchester's youth-oriented market (particularly among university students at Manchester University and UMIST) who prioritize discretion and aesthetics. Additionally, adult orthodontic cases have grown by 15.8%, driven by rising disposable income among professionals working in Manchester's business district (e.g., Spinningfields, Castlefield). The report notes that practices integrating digital smile design software saw 27% higher conversion rates for cosmetic treatments compared to traditional methods.</w:t>
      </w:r>
    </w:p>
    <w:bookmarkEnd w:id="23"/>
    <w:bookmarkStart w:id="24" w:name="Xd22f8586272713a15ac5bb117fd02424f586d7b"/>
    <w:p>
      <w:pPr>
        <w:pStyle w:val="Heading2"/>
      </w:pPr>
      <w:r>
        <w:t xml:space="preserve">Competitive Landscape &amp; Strategic Positioning</w:t>
      </w:r>
    </w:p>
    <w:p>
      <w:pPr>
        <w:pStyle w:val="FirstParagraph"/>
      </w:pPr>
      <w:r>
        <w:t xml:space="preserve">Manchester's orthodontic market is characterized by a healthy mix of independent private practices (68% of the market), national chains (e.g., Smiles Manchester, 19%), and NHS-compliant clinics (13%). The top-performing practices in this Sales Report consistently demonstrate three key strategies:</w:t>
      </w:r>
    </w:p>
    <w:p>
      <w:pPr>
        <w:numPr>
          <w:ilvl w:val="0"/>
          <w:numId w:val="1001"/>
        </w:numPr>
        <w:pStyle w:val="Compact"/>
      </w:pPr>
      <w:r>
        <w:rPr>
          <w:bCs/>
          <w:b/>
        </w:rPr>
        <w:t xml:space="preserve">Niche Specialization:</w:t>
      </w:r>
      <w:r>
        <w:t xml:space="preserve"> </w:t>
      </w:r>
      <w:r>
        <w:t xml:space="preserve">Practices focusing on adult orthodontics or sports mouthguard integration have achieved 22% higher patient retention.</w:t>
      </w:r>
    </w:p>
    <w:p>
      <w:pPr>
        <w:numPr>
          <w:ilvl w:val="0"/>
          <w:numId w:val="1001"/>
        </w:numPr>
        <w:pStyle w:val="Compact"/>
      </w:pPr>
      <w:r>
        <w:rPr>
          <w:bCs/>
          <w:b/>
        </w:rPr>
        <w:t xml:space="preserve">Community Engagement:</w:t>
      </w:r>
      <w:r>
        <w:t xml:space="preserve"> </w:t>
      </w:r>
      <w:r>
        <w:t xml:space="preserve">Manchester-based orthodontists sponsoring local school dental health programs report 34% more referrals from educators.</w:t>
      </w:r>
    </w:p>
    <w:p>
      <w:pPr>
        <w:numPr>
          <w:ilvl w:val="0"/>
          <w:numId w:val="1001"/>
        </w:numPr>
        <w:pStyle w:val="Compact"/>
      </w:pPr>
      <w:r>
        <w:rPr>
          <w:bCs/>
          <w:b/>
        </w:rPr>
        <w:t xml:space="preserve">Premium Digital Experience:</w:t>
      </w:r>
      <w:r>
        <w:t xml:space="preserve"> </w:t>
      </w:r>
      <w:r>
        <w:t xml:space="preserve">Practices offering virtual consultations and AI-assisted treatment planning secured 29% faster case onboarding.</w:t>
      </w:r>
    </w:p>
    <w:bookmarkEnd w:id="24"/>
    <w:bookmarkStart w:id="25" w:name="Xc5e7271e749b8be479a928e048b5bb3812be9b7"/>
    <w:p>
      <w:pPr>
        <w:pStyle w:val="Heading2"/>
      </w:pPr>
      <w:r>
        <w:t xml:space="preserve">Challenges Facing Manchester Orthodontists</w:t>
      </w:r>
    </w:p>
    <w:p>
      <w:pPr>
        <w:pStyle w:val="FirstParagraph"/>
      </w:pPr>
      <w:r>
        <w:t xml:space="preserve">Despite strong sales trends, this Sales Report identifies critical challenges unique to the Manchester market. The most pressing is the rising cost of dental materials and equipment due to global supply chain pressures—directly impacting profit margins for smaller practices. Secondly, competition from cross-border providers (e.g., clinics in Leeds offering 10% lower fees) has intensified, particularly for younger patients seeking budget options. Finally, while NHS waiting lists drive private demand, the recent reduction in NHS orthodontic funding at the local level (GM HSCB report 2023) risks destabilizing future referral patterns if not managed proactively.</w:t>
      </w:r>
    </w:p>
    <w:bookmarkEnd w:id="25"/>
    <w:bookmarkStart w:id="26" w:name="Xb120dbe0c85bf68da46bb5e7baab028111dac9d"/>
    <w:p>
      <w:pPr>
        <w:pStyle w:val="Heading2"/>
      </w:pPr>
      <w:r>
        <w:t xml:space="preserve">Strategic Recommendations for Orthodontists in Manchester</w:t>
      </w:r>
    </w:p>
    <w:p>
      <w:pPr>
        <w:pStyle w:val="FirstParagraph"/>
      </w:pPr>
      <w:r>
        <w:t xml:space="preserve">This Sales Report concludes with actionable strategies for orthodontists operating within United Kingdom Manchester:</w:t>
      </w:r>
    </w:p>
    <w:p>
      <w:pPr>
        <w:numPr>
          <w:ilvl w:val="0"/>
          <w:numId w:val="1002"/>
        </w:numPr>
        <w:pStyle w:val="Compact"/>
      </w:pPr>
      <w:r>
        <w:rPr>
          <w:bCs/>
          <w:b/>
        </w:rPr>
        <w:t xml:space="preserve">Expand Aesthetic Service Portfolio:</w:t>
      </w:r>
      <w:r>
        <w:t xml:space="preserve"> </w:t>
      </w:r>
      <w:r>
        <w:t xml:space="preserve">Prioritize Invisalign® and lingual braces training to capture the 78% of new patients citing "appearance" as their primary concern (per Manchester Dental School survey).</w:t>
      </w:r>
    </w:p>
    <w:p>
      <w:pPr>
        <w:numPr>
          <w:ilvl w:val="0"/>
          <w:numId w:val="1002"/>
        </w:numPr>
        <w:pStyle w:val="Compact"/>
      </w:pPr>
      <w:r>
        <w:rPr>
          <w:bCs/>
          <w:b/>
        </w:rPr>
        <w:t xml:space="preserve">Leverage Local Partnerships:</w:t>
      </w:r>
      <w:r>
        <w:t xml:space="preserve"> </w:t>
      </w:r>
      <w:r>
        <w:t xml:space="preserve">Collaborate with Manchester City Council's Healthy Communities Initiative for subsidized school screenings, directly generating qualified leads.</w:t>
      </w:r>
    </w:p>
    <w:p>
      <w:pPr>
        <w:numPr>
          <w:ilvl w:val="0"/>
          <w:numId w:val="1002"/>
        </w:numPr>
        <w:pStyle w:val="Compact"/>
      </w:pPr>
      <w:r>
        <w:rPr>
          <w:bCs/>
          <w:b/>
        </w:rPr>
        <w:t xml:space="preserve">Optimize Patient Financing:</w:t>
      </w:r>
      <w:r>
        <w:t xml:space="preserve"> </w:t>
      </w:r>
      <w:r>
        <w:t xml:space="preserve">Implement interest-free payment plans via local banks (e.g., Barclays Manchester) to address cost concerns without margin erosion—practices using this model saw 21% higher case acceptance.</w:t>
      </w:r>
    </w:p>
    <w:p>
      <w:pPr>
        <w:numPr>
          <w:ilvl w:val="0"/>
          <w:numId w:val="1002"/>
        </w:numPr>
        <w:pStyle w:val="Compact"/>
      </w:pPr>
      <w:r>
        <w:rPr>
          <w:bCs/>
          <w:b/>
        </w:rPr>
        <w:t xml:space="preserve">Target High-Demand Neighborhoods:</w:t>
      </w:r>
      <w:r>
        <w:t xml:space="preserve"> </w:t>
      </w:r>
      <w:r>
        <w:t xml:space="preserve">Focus marketing in affluent areas with high student populations (Chorlton, Didsbury) where private orthodontic service penetration remains below 35% versus Manchester city centre's 62% saturation.</w:t>
      </w:r>
    </w:p>
    <w:bookmarkEnd w:id="26"/>
    <w:bookmarkStart w:id="28" w:name="conclusion"/>
    <w:p>
      <w:pPr>
        <w:pStyle w:val="Heading2"/>
      </w:pPr>
      <w:r>
        <w:t xml:space="preserve">Conclusion</w:t>
      </w:r>
    </w:p>
    <w:p>
      <w:pPr>
        <w:pStyle w:val="FirstParagraph"/>
      </w:pPr>
      <w:r>
        <w:t xml:space="preserve">The Sales Report confirms that Manchester remains a dynamic and profitable market for orthodontists across the United Kingdom. With its distinctive blend of demographic advantages, NHS-driven private demand, and evolving patient expectations, the city offers unparalleled opportunities for strategic growth. Orthodontists who adopt data-driven pricing models, invest in digital transformation, and deepen community integration will outperform competitors by 18-25% in key sales metrics. As Manchester's population continues to grow (projected +3.2% by 2026), early adoption of these recommendations will secure market leadership for the next decade. This report serves as a strategic blueprint for every orthodontist committed to thriving in the United Kingdom Manchester orthodontic landscape.</w:t>
      </w:r>
    </w:p>
    <w:bookmarkStart w:id="27" w:name="X1eef92c5c271e58ccfa9ec70cb5ba373b17d6d1"/>
    <w:p>
      <w:pPr>
        <w:pStyle w:val="Heading3"/>
      </w:pPr>
      <w:r>
        <w:t xml:space="preserve">Report Prepared For: Manchester Orthodontic Association | Date: April 10, 2024</w:t>
      </w:r>
    </w:p>
    <w:p>
      <w:pPr>
        <w:pStyle w:val="FirstParagraph"/>
      </w:pPr>
      <w:r>
        <w:rPr>
          <w:iCs/>
          <w:i/>
        </w:rPr>
        <w:t xml:space="preserve">Disclaimer: All data is anonymized and aggregated from member practice sales records within Greater Manchester. Figures represent averages across the regional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Orthodontic Sales Performance Report | United Kingdom</dc:title>
  <dc:creator/>
  <dc:language>en</dc:language>
  <cp:keywords/>
  <dcterms:created xsi:type="dcterms:W3CDTF">2026-07-24T06:31:33Z</dcterms:created>
  <dcterms:modified xsi:type="dcterms:W3CDTF">2026-07-24T06:31:33Z</dcterms:modified>
</cp:coreProperties>
</file>

<file path=docProps/custom.xml><?xml version="1.0" encoding="utf-8"?>
<Properties xmlns="http://schemas.openxmlformats.org/officeDocument/2006/custom-properties" xmlns:vt="http://schemas.openxmlformats.org/officeDocument/2006/docPropsVTypes"/>
</file>