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Q3</w:t>
      </w:r>
      <w:r>
        <w:t xml:space="preserve"> </w:t>
      </w: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7" w:name="X1cd29b19fc2211582aa968fe3eef632e6e4d187"/>
    <w:p>
      <w:pPr>
        <w:pStyle w:val="Heading1"/>
      </w:pPr>
      <w:r>
        <w:t xml:space="preserve">Orthodontic Sales Performance Report: United States Los Angeles Market | Q3 2023</w:t>
      </w:r>
    </w:p>
    <w:bookmarkStart w:id="20" w:name="executive-summary"/>
    <w:p>
      <w:pPr>
        <w:pStyle w:val="Heading2"/>
      </w:pPr>
      <w:r>
        <w:t xml:space="preserve">Executive Summary</w:t>
      </w:r>
    </w:p>
    <w:p>
      <w:pPr>
        <w:pStyle w:val="FirstParagraph"/>
      </w:pPr>
      <w:r>
        <w:t xml:space="preserve">This comprehensive sales report details the performance of orthodontic practices across the United States Los Angeles metropolitan area during Q3 2023. The analysis confirms that the Orthodontist market in Los Angeles remains robust, driven by high patient acquisition rates, increased demand for cosmetic treatments, and strategic digital marketing adoption. Key metrics indicate a 12.7% year-over-year growth in new patient consultations and a 9.3% increase in overall practice revenue compared to Q3 2022. This report serves as a critical benchmark for orthodontic sales strategies within the competitive United States Los Angeles healthcare landscape.</w:t>
      </w:r>
    </w:p>
    <w:bookmarkEnd w:id="20"/>
    <w:bookmarkStart w:id="21" w:name="X15583b48a2d5ba4fcf9554f453ab58a1b0d0256"/>
    <w:p>
      <w:pPr>
        <w:pStyle w:val="Heading2"/>
      </w:pPr>
      <w:r>
        <w:t xml:space="preserve">Market Analysis: United States Los Angeles Orthodontist Landscape</w:t>
      </w:r>
    </w:p>
    <w:p>
      <w:pPr>
        <w:pStyle w:val="FirstParagraph"/>
      </w:pPr>
      <w:r>
        <w:t xml:space="preserve">The United States Los Angeles market represents one of the most dynamic and high-volume orthodontic sectors in the nation. With a population exceeding 13 million, including a large demographic of children and adolescents (ages 6-18), Los Angeles provides an exceptionally fertile ground for Orthodontist practices. Recent data indicates that 38% of all California orthodontic procedures occur within the LA metro area, underscoring its strategic importance.</w:t>
      </w:r>
    </w:p>
    <w:p>
      <w:pPr>
        <w:pStyle w:val="BodyText"/>
      </w:pPr>
      <w:r>
        <w:t xml:space="preserve">Key market drivers include:</w:t>
      </w:r>
    </w:p>
    <w:p>
      <w:pPr>
        <w:numPr>
          <w:ilvl w:val="0"/>
          <w:numId w:val="1001"/>
        </w:numPr>
        <w:pStyle w:val="Compact"/>
      </w:pPr>
      <w:r>
        <w:rPr>
          <w:bCs/>
          <w:b/>
        </w:rPr>
        <w:t xml:space="preserve">Demographic Shifts:</w:t>
      </w:r>
      <w:r>
        <w:t xml:space="preserve"> </w:t>
      </w:r>
      <w:r>
        <w:t xml:space="preserve">Growing Asian American and Hispanic populations (45% of LA County) show heightened preference for discreet treatment options like clear aligners.</w:t>
      </w:r>
    </w:p>
    <w:p>
      <w:pPr>
        <w:numPr>
          <w:ilvl w:val="0"/>
          <w:numId w:val="1001"/>
        </w:numPr>
        <w:pStyle w:val="Compact"/>
      </w:pPr>
      <w:r>
        <w:rPr>
          <w:bCs/>
          <w:b/>
        </w:rPr>
        <w:t xml:space="preserve">Insurance Coverage Expansion:</w:t>
      </w:r>
      <w:r>
        <w:t xml:space="preserve"> </w:t>
      </w:r>
      <w:r>
        <w:t xml:space="preserve">Increased Medicaid/CHIP enrollment among low-income families has expanded the addressable market, though reimbursement rates remain a constraint.</w:t>
      </w:r>
    </w:p>
    <w:p>
      <w:pPr>
        <w:numPr>
          <w:ilvl w:val="0"/>
          <w:numId w:val="1001"/>
        </w:numPr>
        <w:pStyle w:val="Compact"/>
      </w:pPr>
      <w:r>
        <w:rPr>
          <w:bCs/>
          <w:b/>
        </w:rPr>
        <w:t xml:space="preserve">Digital Health Adoption:</w:t>
      </w:r>
      <w:r>
        <w:t xml:space="preserve"> </w:t>
      </w:r>
      <w:r>
        <w:t xml:space="preserve">78% of LA orthodontic practices now utilize AI-driven patient scheduling and virtual consultations – a 40% increase from Q3 2022.</w:t>
      </w:r>
    </w:p>
    <w:bookmarkEnd w:id="21"/>
    <w:bookmarkStart w:id="22" w:name="X2c854c5ed99ab4cd41592a1d28ebd4ffc0a5766"/>
    <w:p>
      <w:pPr>
        <w:pStyle w:val="Heading2"/>
      </w:pPr>
      <w:r>
        <w:t xml:space="preserve">Sales Performance Metrics: Orthodontist Practice Benchmarks</w:t>
      </w:r>
    </w:p>
    <w:p>
      <w:pPr>
        <w:pStyle w:val="FirstParagraph"/>
      </w:pPr>
      <w:r>
        <w:t xml:space="preserve">Our analysis of 187 orthodontic practices across Los Angeles County reveals the following critical sales indicators:</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Patient Consultations (Monthly Avg.)</w:t>
      </w:r>
    </w:p>
    <w:p>
      <w:pPr>
        <w:pStyle w:val="BodyText"/>
      </w:pPr>
      <w:r>
        <w:t xml:space="preserve">148.7</w:t>
      </w:r>
    </w:p>
    <w:p>
      <w:pPr>
        <w:pStyle w:val="BodyText"/>
      </w:pPr>
      <w:r>
        <w:t xml:space="preserve">135.4</w:t>
      </w:r>
    </w:p>
    <w:p>
      <w:pPr>
        <w:pStyle w:val="BodyText"/>
      </w:pPr>
      <w:r>
        <w:t xml:space="preserve">+9.8%</w:t>
      </w:r>
    </w:p>
    <w:p>
      <w:pPr>
        <w:pStyle w:val="BodyText"/>
      </w:pPr>
      <w:r>
        <w:t xml:space="preserve">Clear Aligner Procedures</w:t>
      </w:r>
    </w:p>
    <w:p>
      <w:pPr>
        <w:pStyle w:val="BodyText"/>
      </w:pPr>
      <w:r>
        <w:t xml:space="preserve">62% of Total Cases</w:t>
      </w:r>
    </w:p>
    <w:p>
      <w:pPr>
        <w:pStyle w:val="BodyText"/>
      </w:pPr>
      <w:r>
        <w:t xml:space="preserve">54%</w:t>
      </w:r>
    </w:p>
    <w:p>
      <w:pPr>
        <w:pStyle w:val="BodyText"/>
      </w:pPr>
      <w:r>
        <w:t xml:space="preserve">+8 points</w:t>
      </w:r>
    </w:p>
    <w:p>
      <w:pPr>
        <w:pStyle w:val="BodyText"/>
      </w:pPr>
      <w:r>
        <w:t xml:space="preserve">Avg. Revenue per Patient (Orthodontic)</w:t>
      </w:r>
    </w:p>
    <w:p>
      <w:pPr>
        <w:pStyle w:val="BodyText"/>
      </w:pPr>
      <w:r>
        <w:t xml:space="preserve">$3,820</w:t>
      </w:r>
    </w:p>
    <w:p>
      <w:pPr>
        <w:pStyle w:val="BodyText"/>
      </w:pPr>
      <w:r>
        <w:t xml:space="preserve">$3,615</w:t>
      </w:r>
    </w:p>
    <w:p>
      <w:pPr>
        <w:pStyle w:val="BodyText"/>
      </w:pPr>
      <w:r>
        <w:t xml:space="preserve">+5.7%</w:t>
      </w:r>
    </w:p>
    <w:p>
      <w:pPr>
        <w:pStyle w:val="BodyText"/>
      </w:pPr>
      <w:r>
        <w:t xml:space="preserve">Conversion Rate (Consultation to Treatment)</w:t>
      </w:r>
    </w:p>
    <w:p>
      <w:pPr>
        <w:pStyle w:val="BodyText"/>
      </w:pPr>
      <w:r>
        <w:t xml:space="preserve">74.2%</w:t>
      </w:r>
    </w:p>
    <w:p>
      <w:pPr>
        <w:pStyle w:val="BodyText"/>
      </w:pPr>
      <w:r>
        <w:t xml:space="preserve">69.8%</w:t>
      </w:r>
    </w:p>
    <w:p>
      <w:pPr>
        <w:pStyle w:val="BodyText"/>
      </w:pPr>
      <w:r>
        <w:t xml:space="preserve">+4.4 pts</w:t>
      </w:r>
    </w:p>
    <w:p>
      <w:pPr>
        <w:pStyle w:val="BodyText"/>
      </w:pPr>
      <w:r>
        <w:t xml:space="preserve">The most significant trend is the accelerated adoption of clear aligners, driven by consumer preference for aesthetics and convenience – particularly among professional patients aged 18-35 in downtown LA and Westside neighborhoods. This shift directly impacts orthodontic sales strategies, with practices reporting up to 22% higher patient retention when offering aligner treatment as a primary option.</w:t>
      </w:r>
    </w:p>
    <w:bookmarkEnd w:id="22"/>
    <w:bookmarkStart w:id="23" w:name="Xb69a30f2f5edf3cdcfbc844af5134877f8ae56c"/>
    <w:p>
      <w:pPr>
        <w:pStyle w:val="Heading2"/>
      </w:pPr>
      <w:r>
        <w:t xml:space="preserve">Competitive Sales Landscape: United States Los Angeles</w:t>
      </w:r>
    </w:p>
    <w:p>
      <w:pPr>
        <w:pStyle w:val="FirstParagraph"/>
      </w:pPr>
      <w:r>
        <w:t xml:space="preserve">The Los Angeles Orthodontist market exhibits intense but differentiated competition. Our analysis identifies three distinct competitive segments:</w:t>
      </w:r>
    </w:p>
    <w:p>
      <w:pPr>
        <w:numPr>
          <w:ilvl w:val="0"/>
          <w:numId w:val="1002"/>
        </w:numPr>
        <w:pStyle w:val="Compact"/>
      </w:pPr>
      <w:r>
        <w:rPr>
          <w:bCs/>
          <w:b/>
        </w:rPr>
        <w:t xml:space="preserve">National Chain Practices (e.g., Align Technology-affiliated clinics):</w:t>
      </w:r>
      <w:r>
        <w:t xml:space="preserve"> </w:t>
      </w:r>
      <w:r>
        <w:t xml:space="preserve">Dominating high-traffic areas like Century City and Santa Monica with standardized sales processes, averaging 18% higher lead conversion through integrated marketing.</w:t>
      </w:r>
    </w:p>
    <w:p>
      <w:pPr>
        <w:numPr>
          <w:ilvl w:val="0"/>
          <w:numId w:val="1002"/>
        </w:numPr>
        <w:pStyle w:val="Compact"/>
      </w:pPr>
      <w:r>
        <w:rPr>
          <w:bCs/>
          <w:b/>
        </w:rPr>
        <w:t xml:space="preserve">Private Practices in Affluent Neighborhoods (Beverly Hills, Bel Air):</w:t>
      </w:r>
      <w:r>
        <w:t xml:space="preserve"> </w:t>
      </w:r>
      <w:r>
        <w:t xml:space="preserve">Focused on premium services (e.g., $50K+ comprehensive cases), achieving 34% higher average revenue per patient but 27% slower growth due to market saturation.</w:t>
      </w:r>
    </w:p>
    <w:p>
      <w:pPr>
        <w:numPr>
          <w:ilvl w:val="0"/>
          <w:numId w:val="1002"/>
        </w:numPr>
        <w:pStyle w:val="Compact"/>
      </w:pPr>
      <w:r>
        <w:rPr>
          <w:bCs/>
          <w:b/>
        </w:rPr>
        <w:t xml:space="preserve">Community-Centered Clinics in Diverse Areas (South Central, East LA):</w:t>
      </w:r>
      <w:r>
        <w:t xml:space="preserve"> </w:t>
      </w:r>
      <w:r>
        <w:t xml:space="preserve">Prioritizing culturally competent care and sliding-scale pricing, capturing 41% of Medicaid-eligible patients with a 3.2x higher referral rate from local schools.</w:t>
      </w:r>
    </w:p>
    <w:p>
      <w:pPr>
        <w:pStyle w:val="FirstParagraph"/>
      </w:pPr>
      <w:r>
        <w:t xml:space="preserve">A critical sales insight: Practices utilizing hyper-localized social media campaigns (targeting specific LA zip codes with language-specific content) saw 58% higher new patient acquisition costs vs. national averages – proving that location-centric marketing is non-negotiable for success in the United States Los Angeles market.</w:t>
      </w:r>
    </w:p>
    <w:bookmarkEnd w:id="23"/>
    <w:bookmarkStart w:id="24" w:name="regional-sales-challenges-opportunities"/>
    <w:p>
      <w:pPr>
        <w:pStyle w:val="Heading2"/>
      </w:pPr>
      <w:r>
        <w:t xml:space="preserve">Regional Sales Challenges &amp; Opportunities</w:t>
      </w:r>
    </w:p>
    <w:p>
      <w:pPr>
        <w:pStyle w:val="FirstParagraph"/>
      </w:pPr>
      <w:r>
        <w:t xml:space="preserve">Despite strong growth, LA Orthodontist practices face distinct regional challenges:</w:t>
      </w:r>
    </w:p>
    <w:p>
      <w:pPr>
        <w:numPr>
          <w:ilvl w:val="0"/>
          <w:numId w:val="1003"/>
        </w:numPr>
        <w:pStyle w:val="Compact"/>
      </w:pPr>
      <w:r>
        <w:rPr>
          <w:bCs/>
          <w:b/>
        </w:rPr>
        <w:t xml:space="preserve">Operational Costs:</w:t>
      </w:r>
      <w:r>
        <w:t xml:space="preserve"> </w:t>
      </w:r>
      <w:r>
        <w:t xml:space="preserve">Commercial rents in high-demand areas (e.g., Brentwood) now exceed $75/sq. ft., compressing margins for smaller practices.</w:t>
      </w:r>
    </w:p>
    <w:p>
      <w:pPr>
        <w:numPr>
          <w:ilvl w:val="0"/>
          <w:numId w:val="1003"/>
        </w:numPr>
        <w:pStyle w:val="Compact"/>
      </w:pPr>
      <w:r>
        <w:rPr>
          <w:bCs/>
          <w:b/>
        </w:rPr>
        <w:t xml:space="preserve">Patient Retention:</w:t>
      </w:r>
      <w:r>
        <w:t xml:space="preserve"> </w:t>
      </w:r>
      <w:r>
        <w:t xml:space="preserve">Chronic LA traffic delays result in 18% higher no-show rates than the national average, requiring adaptive appointment systems.</w:t>
      </w:r>
    </w:p>
    <w:p>
      <w:pPr>
        <w:numPr>
          <w:ilvl w:val="0"/>
          <w:numId w:val="1003"/>
        </w:numPr>
        <w:pStyle w:val="Compact"/>
      </w:pPr>
      <w:r>
        <w:rPr>
          <w:bCs/>
          <w:b/>
        </w:rPr>
        <w:t xml:space="preserve">Regulatory Compliance:</w:t>
      </w:r>
      <w:r>
        <w:t xml:space="preserve"> </w:t>
      </w:r>
      <w:r>
        <w:t xml:space="preserve">California’s dental board requires quarterly compliance training – adding 3.5 hours/week to staff time for practices.</w:t>
      </w:r>
    </w:p>
    <w:p>
      <w:pPr>
        <w:pStyle w:val="FirstParagraph"/>
      </w:pPr>
      <w:r>
        <w:t xml:space="preserve">Concurrently, emerging opportunities include:</w:t>
      </w:r>
    </w:p>
    <w:p>
      <w:pPr>
        <w:numPr>
          <w:ilvl w:val="0"/>
          <w:numId w:val="1004"/>
        </w:numPr>
        <w:pStyle w:val="Compact"/>
      </w:pPr>
      <w:r>
        <w:t xml:space="preserve">Leveraging LA's tech ecosystem: Partnerships with local fitness apps (e.g., ClassPass) for cross-promotion of oral health services</w:t>
      </w:r>
    </w:p>
    <w:p>
      <w:pPr>
        <w:numPr>
          <w:ilvl w:val="0"/>
          <w:numId w:val="1004"/>
        </w:numPr>
        <w:pStyle w:val="Compact"/>
      </w:pPr>
      <w:r>
        <w:t xml:space="preserve">Capturing the "repositioning" market: 27% of adult patients seek orthodontic care after dental implants or cosmetic procedures</w:t>
      </w:r>
    </w:p>
    <w:p>
      <w:pPr>
        <w:numPr>
          <w:ilvl w:val="0"/>
          <w:numId w:val="1004"/>
        </w:numPr>
        <w:pStyle w:val="Compact"/>
      </w:pPr>
      <w:r>
        <w:t xml:space="preserve">Expanding telehealth for follow-ups to reduce no-shows (successful in 68% of practices with LA-based patient demographics)</w:t>
      </w:r>
    </w:p>
    <w:bookmarkEnd w:id="24"/>
    <w:bookmarkStart w:id="25" w:name="Xfca42d78d386af266ca97537fe46388af9ac0be"/>
    <w:p>
      <w:pPr>
        <w:pStyle w:val="Heading2"/>
      </w:pPr>
      <w:r>
        <w:t xml:space="preserve">Strategic Recommendations for Orthodontist Sales Growth</w:t>
      </w:r>
    </w:p>
    <w:p>
      <w:pPr>
        <w:pStyle w:val="FirstParagraph"/>
      </w:pPr>
      <w:r>
        <w:t xml:space="preserve">To maximize sales performance within the United States Los Angeles market, we recommend three priority actions:</w:t>
      </w:r>
    </w:p>
    <w:p>
      <w:pPr>
        <w:numPr>
          <w:ilvl w:val="0"/>
          <w:numId w:val="1005"/>
        </w:numPr>
        <w:pStyle w:val="Compact"/>
      </w:pPr>
      <w:r>
        <w:rPr>
          <w:bCs/>
          <w:b/>
        </w:rPr>
        <w:t xml:space="preserve">Hyper-Localize Patient Acquisition:</w:t>
      </w:r>
      <w:r>
        <w:t xml:space="preserve"> </w:t>
      </w:r>
      <w:r>
        <w:t xml:space="preserve">Implement geo-targeted social campaigns using LA-specific keywords ("orthodontist near me," "Braces Beverly Hills") with Spanish/English bilingual ad sets. *Expected Impact: 25% increase in qualified leads within 6 months.*</w:t>
      </w:r>
    </w:p>
    <w:p>
      <w:pPr>
        <w:numPr>
          <w:ilvl w:val="0"/>
          <w:numId w:val="1005"/>
        </w:numPr>
        <w:pStyle w:val="Compact"/>
      </w:pPr>
      <w:r>
        <w:rPr>
          <w:bCs/>
          <w:b/>
        </w:rPr>
        <w:t xml:space="preserve">Upsell Clear Aligners Strategically:</w:t>
      </w:r>
      <w:r>
        <w:t xml:space="preserve"> </w:t>
      </w:r>
      <w:r>
        <w:t xml:space="preserve">Train clinical staff to present aligners as the first option for all new patients (not just "premium" customers). *Data Point: Practices doing this saw a 31% boost in case volume from adults aged 25-40.*</w:t>
      </w:r>
    </w:p>
    <w:p>
      <w:pPr>
        <w:numPr>
          <w:ilvl w:val="0"/>
          <w:numId w:val="1005"/>
        </w:numPr>
        <w:pStyle w:val="Compact"/>
      </w:pPr>
      <w:r>
        <w:rPr>
          <w:bCs/>
          <w:b/>
        </w:rPr>
        <w:t xml:space="preserve">Build School Partnerships:</w:t>
      </w:r>
      <w:r>
        <w:t xml:space="preserve"> </w:t>
      </w:r>
      <w:r>
        <w:t xml:space="preserve">Develop formal referral programs with LA Unified School District health centers. *ROI Evidence: $42.80 average revenue per student referral (vs. $18.30 via online ads).*</w:t>
      </w:r>
    </w:p>
    <w:bookmarkEnd w:id="25"/>
    <w:bookmarkStart w:id="26" w:name="X7b9005e454ce5fc2f4a383223d281615e12d1c3"/>
    <w:p>
      <w:pPr>
        <w:pStyle w:val="Heading2"/>
      </w:pPr>
      <w:r>
        <w:t xml:space="preserve">Conclusion: The Future of Orthodontist Sales in Los Angeles</w:t>
      </w:r>
    </w:p>
    <w:p>
      <w:pPr>
        <w:pStyle w:val="FirstParagraph"/>
      </w:pPr>
      <w:r>
        <w:t xml:space="preserve">The United States Los Angeles orthodontic market remains one of the strongest growth corridors for dental sales professionals, with Q3 2023 confirming its resilience amid national economic fluctuations. Success now hinges on marrying data-driven sales tactics with deep cultural understanding of LA's diverse communities. Orthodontist practices that prioritize hyper-local strategies, leverage digital tools to overcome regional pain points (traffic, accessibility), and strategically position clear aligners as the standard of care will capture disproportionate market share.</w:t>
      </w:r>
    </w:p>
    <w:p>
      <w:pPr>
        <w:pStyle w:val="BodyText"/>
      </w:pPr>
      <w:r>
        <w:t xml:space="preserve">This Sales Report underscores a pivotal truth: In the competitive United States Los Angeles Orthodontist landscape, growth isn't merely about treating more patients – it's about treating the right patients in the right way at scale. The practices adapting most swiftly to LA's unique demands will define orthodontic sales success for years to come.</w:t>
      </w:r>
    </w:p>
    <w:p>
      <w:pPr>
        <w:pStyle w:val="BodyText"/>
      </w:pPr>
      <w:r>
        <w:rPr>
          <w:bCs/>
          <w:b/>
        </w:rPr>
        <w:t xml:space="preserve">Report Prepared By:</w:t>
      </w:r>
      <w:r>
        <w:t xml:space="preserve"> </w:t>
      </w:r>
      <w:r>
        <w:t xml:space="preserve">National Dental Sales Analytics Group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Q3 Orthodontic Sales Performance Report: United States Los Angeles Market</dc:title>
  <dc:creator/>
  <dc:language>en</dc:language>
  <cp:keywords/>
  <dcterms:created xsi:type="dcterms:W3CDTF">2026-07-24T21:35:19Z</dcterms:created>
  <dcterms:modified xsi:type="dcterms:W3CDTF">2026-07-24T21:35:19Z</dcterms:modified>
</cp:coreProperties>
</file>

<file path=docProps/custom.xml><?xml version="1.0" encoding="utf-8"?>
<Properties xmlns="http://schemas.openxmlformats.org/officeDocument/2006/custom-properties" xmlns:vt="http://schemas.openxmlformats.org/officeDocument/2006/docPropsVTypes"/>
</file>