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aaea164f31241a50f2245b6c7e0429d67a5e0ab"/>
    <w:p>
      <w:pPr>
        <w:pStyle w:val="Heading1"/>
      </w:pPr>
      <w:r>
        <w:t xml:space="preserve">Orthodontic Sales Performance Report: United States Miami Market Analysis</w:t>
      </w:r>
    </w:p>
    <w:p>
      <w:pPr>
        <w:pStyle w:val="FirstParagraph"/>
      </w:pPr>
      <w:r>
        <w:rPr>
          <w:bCs/>
          <w:b/>
        </w:rPr>
        <w:t xml:space="preserve">Prepared For:</w:t>
      </w:r>
      <w:r>
        <w:t xml:space="preserve"> </w:t>
      </w:r>
      <w:r>
        <w:t xml:space="preserve">Orthodontist Leadership Team, Miami Practice Management</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orthodontic practice in United States Miami during Q3 2023. As a leading provider serving the diverse population of South Florida, our Miami-based Orthodontist team achieved exceptional growth with a 17% year-over-year increase in new patient acquisitions and a 12% revenue surge compared to Q3 2022. The report analyzes key market dynamics, service line performance, and strategic initiatives driving success in the competitive United States Miami orthodontic landscape. Our position as a premier Orthodontist practice continues to strengthen through culturally attuned patient care and innovative treatment solutions tailored for Miami's unique demographic profile.</w:t>
      </w:r>
    </w:p>
    <w:bookmarkEnd w:id="20"/>
    <w:bookmarkStart w:id="22" w:name="q3-2023-sales-performance-overview"/>
    <w:p>
      <w:pPr>
        <w:pStyle w:val="Heading2"/>
      </w:pPr>
      <w:r>
        <w:t xml:space="preserve">Q3 2023 Sales Performance Overview</w:t>
      </w:r>
    </w:p>
    <w:p>
      <w:pPr>
        <w:pStyle w:val="FirstParagraph"/>
      </w:pPr>
      <w:r>
        <w:t xml:space="preserve">The Miami market demonstrated robust demand for orthodontic services, with our practice capturing significant market share through targeted community engagement. Total revenue reached $485,000 for Q3 – exceeding projections by 14.5%. New patient consultations increased to 147 (vs. 126 in Q2), representing a 29% quarterly growth rate specifically within United States Miami's pediatric and adolescent population segments. Notably, our Invisalign® service line generated $189,000 in revenue (39% of total), reflecting Miami patients' strong preference for discreet treatment options. The conversion rate from consultation to treatment initiation remained exceptional at 78%, significantly above the national average of 65%.</w:t>
      </w:r>
    </w:p>
    <w:bookmarkStart w:id="21" w:name="Xd66d58b5d493d19e5ad04d9ec89221586a45e70"/>
    <w:p>
      <w:pPr>
        <w:pStyle w:val="Heading3"/>
      </w:pPr>
      <w:r>
        <w:t xml:space="preserve">Quarterly Key Metrics: United States Miami Orthodontist Practice</w:t>
      </w:r>
    </w:p>
    <w:p>
      <w:pPr>
        <w:pStyle w:val="FirstParagraph"/>
      </w:pPr>
      <w:r>
        <w:t xml:space="preserve">Performance Indicator</w:t>
      </w:r>
    </w:p>
    <w:bookmarkEnd w:id="21"/>
    <w:bookmarkEnd w:id="22"/>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w:t>
      </w:r>
    </w:p>
    <w:p>
      <w:pPr>
        <w:pStyle w:val="BodyText"/>
      </w:pPr>
      <w:r>
        <w:t xml:space="preserve">$485,000</w:t>
      </w:r>
    </w:p>
    <w:p>
      <w:pPr>
        <w:pStyle w:val="BodyText"/>
      </w:pPr>
      <w:r>
        <w:t xml:space="preserve">$419,500</w:t>
      </w:r>
    </w:p>
    <w:p>
      <w:pPr>
        <w:pStyle w:val="BodyText"/>
      </w:pPr>
      <w:r>
        <w:t xml:space="preserve">+17.6%</w:t>
      </w:r>
    </w:p>
    <w:p>
      <w:pPr>
        <w:pStyle w:val="BodyText"/>
      </w:pPr>
      <w:r>
        <w:t xml:space="preserve">New Patient Consultations</w:t>
      </w:r>
    </w:p>
    <w:p>
      <w:pPr>
        <w:pStyle w:val="BodyText"/>
      </w:pPr>
      <w:r>
        <w:t xml:space="preserve">147</w:t>
      </w:r>
    </w:p>
    <w:p>
      <w:pPr>
        <w:pStyle w:val="BodyText"/>
      </w:pPr>
      <w:r>
        <w:t xml:space="preserve">126</w:t>
      </w:r>
    </w:p>
    <w:p>
      <w:pPr>
        <w:pStyle w:val="BodyText"/>
      </w:pPr>
      <w:r>
        <w:t xml:space="preserve">+29.4%</w:t>
      </w:r>
    </w:p>
    <w:p>
      <w:pPr>
        <w:pStyle w:val="BodyText"/>
      </w:pPr>
      <w:r>
        <w:t xml:space="preserve">Service Line Revenue Share (Invisalign)</w:t>
      </w:r>
    </w:p>
    <w:p>
      <w:pPr>
        <w:pStyle w:val="BodyText"/>
      </w:pPr>
      <w:r>
        <w:t xml:space="preserve">39%</w:t>
      </w:r>
    </w:p>
    <w:p>
      <w:pPr>
        <w:pStyle w:val="BodyText"/>
      </w:pPr>
      <w:r>
        <w:t xml:space="preserve">35%</w:t>
      </w:r>
    </w:p>
    <w:p>
      <w:pPr>
        <w:pStyle w:val="BodyText"/>
      </w:pPr>
      <w:r>
        <w:t xml:space="preserve">+4 pts</w:t>
      </w:r>
    </w:p>
    <w:p>
      <w:pPr>
        <w:pStyle w:val="BodyText"/>
      </w:pPr>
      <w:r>
        <w:t xml:space="preserve">Patient Retention Rate</w:t>
      </w:r>
    </w:p>
    <w:p>
      <w:pPr>
        <w:pStyle w:val="BodyText"/>
      </w:pPr>
      <w:r>
        <w:t xml:space="preserve">88.2%</w:t>
      </w:r>
    </w:p>
    <w:p>
      <w:pPr>
        <w:pStyle w:val="BodyText"/>
      </w:pPr>
      <w:r>
        <w:t xml:space="preserve">85.7%</w:t>
      </w:r>
    </w:p>
    <w:p>
      <w:pPr>
        <w:pStyle w:val="BodyText"/>
      </w:pPr>
      <w:r>
        <w:t xml:space="preserve">+2.5 pts</w:t>
      </w:r>
    </w:p>
    <w:bookmarkStart w:id="23" w:name="X947b1404a0fba1a34c5529bb40dde87a8a1dd76"/>
    <w:p>
      <w:pPr>
        <w:pStyle w:val="Heading2"/>
      </w:pPr>
      <w:r>
        <w:t xml:space="preserve">Market Analysis: United States Miami Orthodontic Landscape</w:t>
      </w:r>
    </w:p>
    <w:p>
      <w:pPr>
        <w:pStyle w:val="FirstParagraph"/>
      </w:pPr>
      <w:r>
        <w:t xml:space="preserve">The Miami metropolitan area presents unique opportunities for our Orthodontist practice due to its diverse population (65% Hispanic/Latino, 15% Black, 10% White) and growing family-oriented communities. According to the Florida Dental Association's 2023 report, orthodontic demand in South Florida has increased by 8.3% annually since 2020, driven by rising dental insurance coverage among local employers and heightened awareness of cosmetic dentistry. Our success stems from culturally competent care – we employ bilingual staff fluent in Spanish and Haitian Creole to serve Miami's multilingual communities effectively.</w:t>
      </w:r>
    </w:p>
    <w:p>
      <w:pPr>
        <w:pStyle w:val="BodyText"/>
      </w:pPr>
      <w:r>
        <w:t xml:space="preserve">Competitive analysis reveals that 73% of Miami-area Orthodontist practices operate in suburban locations, creating an opportunity for our downtown Brickell practice to capture patients seeking premium service near business districts. The median patient age in our practice is now 14.2 years (vs. national average of 15.8), indicating strong adoption by younger families – a demographic increasingly prioritizing aesthetic outcomes like clear aligners.</w:t>
      </w:r>
    </w:p>
    <w:bookmarkEnd w:id="23"/>
    <w:bookmarkStart w:id="24" w:name="Xda957d2fee336e16405c2e947e16d412fddf65d"/>
    <w:p>
      <w:pPr>
        <w:pStyle w:val="Heading2"/>
      </w:pPr>
      <w:r>
        <w:t xml:space="preserve">Effective Patient Acquisition Strategies in Miami</w:t>
      </w:r>
    </w:p>
    <w:p>
      <w:pPr>
        <w:pStyle w:val="FirstParagraph"/>
      </w:pPr>
      <w:r>
        <w:t xml:space="preserve">Our Q3 success is directly attributable to three targeted initiatives specifically designed for the United States Miami market:</w:t>
      </w:r>
    </w:p>
    <w:p>
      <w:pPr>
        <w:numPr>
          <w:ilvl w:val="0"/>
          <w:numId w:val="1001"/>
        </w:numPr>
        <w:pStyle w:val="Compact"/>
      </w:pPr>
      <w:r>
        <w:rPr>
          <w:bCs/>
          <w:b/>
        </w:rPr>
        <w:t xml:space="preserve">Cultural Partnership Program:</w:t>
      </w:r>
      <w:r>
        <w:t xml:space="preserve"> </w:t>
      </w:r>
      <w:r>
        <w:t xml:space="preserve">Strategic collaborations with Miami-Dade County public schools (including Coral Park Elementary and Hialeah Gardens High) to provide free dental screenings. This generated 42 new patient leads – representing 28% of all Q3 consultations.</w:t>
      </w:r>
    </w:p>
    <w:p>
      <w:pPr>
        <w:numPr>
          <w:ilvl w:val="0"/>
          <w:numId w:val="1001"/>
        </w:numPr>
        <w:pStyle w:val="Compact"/>
      </w:pPr>
      <w:r>
        <w:rPr>
          <w:bCs/>
          <w:b/>
        </w:rPr>
        <w:t xml:space="preserve">Hispanic Heritage Month Campaign:</w:t>
      </w:r>
      <w:r>
        <w:t xml:space="preserve"> </w:t>
      </w:r>
      <w:r>
        <w:t xml:space="preserve">Tailored social media content in Spanish featuring Miami-based patient testimonials, resulting in a 57% increase in website engagement from Hispanic households.</w:t>
      </w:r>
    </w:p>
    <w:p>
      <w:pPr>
        <w:numPr>
          <w:ilvl w:val="0"/>
          <w:numId w:val="1001"/>
        </w:numPr>
        <w:pStyle w:val="Compact"/>
      </w:pPr>
      <w:r>
        <w:rPr>
          <w:bCs/>
          <w:b/>
        </w:rPr>
        <w:t xml:space="preserve">Corporate Wellness Partnerships:</w:t>
      </w:r>
      <w:r>
        <w:t xml:space="preserve"> </w:t>
      </w:r>
      <w:r>
        <w:t xml:space="preserve">Contracts with 12 major South Florida employers (including American Airlines and FPL) to offer on-site orthodontic consultations at employee events, securing 31 new adult patients.</w:t>
      </w:r>
    </w:p>
    <w:p>
      <w:pPr>
        <w:pStyle w:val="FirstParagraph"/>
      </w:pPr>
      <w:r>
        <w:t xml:space="preserve">These initiatives demonstrate how understanding Miami's cultural fabric directly impacts our Sales Report results. The referral rate from existing patients reached 34% – significantly higher than the industry benchmark of 20% – confirming that satisfied families within United States Miami actively promote our Orthodontist practice to their communities.</w:t>
      </w:r>
    </w:p>
    <w:bookmarkEnd w:id="24"/>
    <w:bookmarkStart w:id="25" w:name="service-line-performance-breakdown"/>
    <w:p>
      <w:pPr>
        <w:pStyle w:val="Heading2"/>
      </w:pPr>
      <w:r>
        <w:t xml:space="preserve">Service Line Performance Breakdown</w:t>
      </w:r>
    </w:p>
    <w:p>
      <w:pPr>
        <w:pStyle w:val="FirstParagraph"/>
      </w:pPr>
      <w:r>
        <w:t xml:space="preserve">The revenue distribution across service lines provides critical insights for strategic resource allocation in the Miami market:</w:t>
      </w:r>
    </w:p>
    <w:p>
      <w:pPr>
        <w:numPr>
          <w:ilvl w:val="0"/>
          <w:numId w:val="1002"/>
        </w:numPr>
        <w:pStyle w:val="Compact"/>
      </w:pPr>
      <w:r>
        <w:rPr>
          <w:bCs/>
          <w:b/>
        </w:rPr>
        <w:t xml:space="preserve">Invisalign® (39% of revenue):</w:t>
      </w:r>
      <w:r>
        <w:t xml:space="preserve"> </w:t>
      </w:r>
      <w:r>
        <w:t xml:space="preserve">Dominant growth driver, especially among teen patients (68% of Invisalign cases). Miami's warm climate and active lifestyle make clear aligners particularly appealing for sports participation.</w:t>
      </w:r>
    </w:p>
    <w:p>
      <w:pPr>
        <w:numPr>
          <w:ilvl w:val="0"/>
          <w:numId w:val="1002"/>
        </w:numPr>
        <w:pStyle w:val="Compact"/>
      </w:pPr>
      <w:r>
        <w:rPr>
          <w:bCs/>
          <w:b/>
        </w:rPr>
        <w:t xml:space="preserve">Traditional Braces (41%):</w:t>
      </w:r>
      <w:r>
        <w:t xml:space="preserve"> </w:t>
      </w:r>
      <w:r>
        <w:t xml:space="preserve">Strong performance in pediatric cases. The introduction of colored ligatures featuring Miami Heat and Dolphins team colors increased patient engagement by 22% among younger demographics.</w:t>
      </w:r>
    </w:p>
    <w:p>
      <w:pPr>
        <w:numPr>
          <w:ilvl w:val="0"/>
          <w:numId w:val="1002"/>
        </w:numPr>
        <w:pStyle w:val="Compact"/>
      </w:pPr>
      <w:r>
        <w:rPr>
          <w:bCs/>
          <w:b/>
        </w:rPr>
        <w:t xml:space="preserve">Lingual Orthodontics (8%):</w:t>
      </w:r>
      <w:r>
        <w:t xml:space="preserve"> </w:t>
      </w:r>
      <w:r>
        <w:t xml:space="preserve">Niche but rapidly growing segment driven by adult professional patients in Downtown Miami's financial district.</w:t>
      </w:r>
    </w:p>
    <w:p>
      <w:pPr>
        <w:numPr>
          <w:ilvl w:val="0"/>
          <w:numId w:val="1002"/>
        </w:numPr>
        <w:pStyle w:val="Compact"/>
      </w:pPr>
      <w:r>
        <w:rPr>
          <w:bCs/>
          <w:b/>
        </w:rPr>
        <w:t xml:space="preserve">Retention Programs (12%):</w:t>
      </w:r>
      <w:r>
        <w:t xml:space="preserve"> </w:t>
      </w:r>
      <w:r>
        <w:t xml:space="preserve">Expanded "Family Plan" discount for multiple children from the same household contributed to higher patient retention rates in our United States Miami practice.</w:t>
      </w:r>
    </w:p>
    <w:p>
      <w:pPr>
        <w:pStyle w:val="FirstParagraph"/>
      </w:pPr>
      <w:r>
        <w:t xml:space="preserve">This diversified service portfolio allows us to serve all segments of Miami's population while maintaining premium positioning. Notably, our average case value increased by $420 per patient (to $5,890) – outperforming the Miami market average of $5,360.</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two key challenges require attention to sustain growth in United States Miami:</w:t>
      </w:r>
    </w:p>
    <w:p>
      <w:pPr>
        <w:numPr>
          <w:ilvl w:val="0"/>
          <w:numId w:val="1003"/>
        </w:numPr>
        <w:pStyle w:val="Compact"/>
      </w:pPr>
      <w:r>
        <w:rPr>
          <w:bCs/>
          <w:b/>
        </w:rPr>
        <w:t xml:space="preserve">Insurance Reimbursement Delays:</w:t>
      </w:r>
      <w:r>
        <w:t xml:space="preserve"> </w:t>
      </w:r>
      <w:r>
        <w:t xml:space="preserve">Medicare Advantage plans in Miami are experiencing 47-day average claim processing times (vs. national average of 32 days), impacting cash flow.</w:t>
      </w:r>
    </w:p>
    <w:p>
      <w:pPr>
        <w:numPr>
          <w:ilvl w:val="0"/>
          <w:numId w:val="1003"/>
        </w:numPr>
        <w:pStyle w:val="Compact"/>
      </w:pPr>
      <w:r>
        <w:rPr>
          <w:bCs/>
          <w:b/>
        </w:rPr>
        <w:t xml:space="preserve">Talent Acquisition:</w:t>
      </w:r>
      <w:r>
        <w:t xml:space="preserve"> </w:t>
      </w:r>
      <w:r>
        <w:t xml:space="preserve">Shortage of bilingual orthodontic assistants with clinical training, particularly in Haitian Creole-speaking staff.</w:t>
      </w:r>
    </w:p>
    <w:p>
      <w:pPr>
        <w:pStyle w:val="FirstParagraph"/>
      </w:pPr>
      <w:r>
        <w:t xml:space="preserve">Opportunities for strategic expansion include:</w:t>
      </w:r>
    </w:p>
    <w:p>
      <w:pPr>
        <w:numPr>
          <w:ilvl w:val="0"/>
          <w:numId w:val="1004"/>
        </w:numPr>
        <w:pStyle w:val="Compact"/>
      </w:pPr>
      <w:r>
        <w:rPr>
          <w:bCs/>
          <w:b/>
        </w:rPr>
        <w:t xml:space="preserve">Mobile App Integration:</w:t>
      </w:r>
      <w:r>
        <w:t xml:space="preserve"> </w:t>
      </w:r>
      <w:r>
        <w:t xml:space="preserve">Launching a Miami-specific patient portal with real-time appointment scheduling and telehealth options, targeting the city's high smartphone penetration (92%).</w:t>
      </w:r>
    </w:p>
    <w:p>
      <w:pPr>
        <w:numPr>
          <w:ilvl w:val="0"/>
          <w:numId w:val="1004"/>
        </w:numPr>
        <w:pStyle w:val="Compact"/>
      </w:pPr>
      <w:r>
        <w:rPr>
          <w:bCs/>
          <w:b/>
        </w:rPr>
        <w:t xml:space="preserve">Cosmetic Add-on Services:</w:t>
      </w:r>
      <w:r>
        <w:t xml:space="preserve"> </w:t>
      </w:r>
      <w:r>
        <w:t xml:space="preserve">Introducing teeth whitening packages to capture adjacent revenue streams during treatment planning.</w:t>
      </w:r>
    </w:p>
    <w:p>
      <w:pPr>
        <w:numPr>
          <w:ilvl w:val="0"/>
          <w:numId w:val="1004"/>
        </w:numPr>
        <w:pStyle w:val="Compact"/>
      </w:pPr>
      <w:r>
        <w:rPr>
          <w:bCs/>
          <w:b/>
        </w:rPr>
        <w:t xml:space="preserve">Community Health Initiative:</w:t>
      </w:r>
      <w:r>
        <w:t xml:space="preserve"> </w:t>
      </w:r>
      <w:r>
        <w:t xml:space="preserve">Partnering with Miami-Dade County on a free orthodontic education program for underserved neighborhoods, enhancing brand visibility and community trust.</w:t>
      </w:r>
    </w:p>
    <w:bookmarkEnd w:id="26"/>
    <w:bookmarkStart w:id="27" w:name="conclusion-and-forward-looking-strategy"/>
    <w:p>
      <w:pPr>
        <w:pStyle w:val="Heading2"/>
      </w:pPr>
      <w:r>
        <w:t xml:space="preserve">Conclusion and Forward-Looking Strategy</w:t>
      </w:r>
    </w:p>
    <w:p>
      <w:pPr>
        <w:pStyle w:val="FirstParagraph"/>
      </w:pPr>
      <w:r>
        <w:t xml:space="preserve">This Sales Report confirms that our Miami-based Orthodontist practice is capitalizing on the dynamic growth opportunities within the United States orthodontic market. The 17% YoY revenue growth in Q3 reflects not only effective clinical service delivery but also deep cultural alignment with Miami's demographic realities. As we move into 2024, our strategic focus will center on: (1) Expanding telehealth capabilities to serve remote areas of South Florida, (2) Developing a specialized "Miami Teen" treatment package featuring custom aligner cases with tropical motifs, and (3) Establishing the first bilingual orthodontic training program in the United States for Hispanic dental professionals.</w:t>
      </w:r>
    </w:p>
    <w:p>
      <w:pPr>
        <w:pStyle w:val="BodyText"/>
      </w:pPr>
      <w:r>
        <w:t xml:space="preserve">By maintaining our commitment to personalized care within Miami's unique cultural context while leveraging data-driven sales strategies, this Orthodontist practice is positioned to become the benchmark for excellence in United States orthodontic care. The consistent growth demonstrated in our Q3 Sales Report validates our market approach and sets a strong foundation for sustained success throughout Florida's most vibrant metropolitan area.</w:t>
      </w:r>
    </w:p>
    <w:bookmarkEnd w:id="27"/>
    <w:p>
      <w:pPr>
        <w:pStyle w:val="BodyText"/>
      </w:pPr>
      <w:r>
        <w:rPr>
          <w:bCs/>
          <w:b/>
        </w:rPr>
        <w:t xml:space="preserve">Prepared by:</w:t>
      </w:r>
      <w:r>
        <w:t xml:space="preserve"> </w:t>
      </w:r>
      <w:r>
        <w:t xml:space="preserve">Miami Orthodontic Sales Analytics Team</w:t>
      </w:r>
    </w:p>
    <w:p>
      <w:pPr>
        <w:pStyle w:val="BodyText"/>
      </w:pPr>
      <w:r>
        <w:rPr>
          <w:iCs/>
          <w:i/>
        </w:rPr>
        <w:t xml:space="preserve">This document represents confidential sales intelligence for internal practice management use only. All figures are audited and reflect United States Miami market data as of October 25,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States Miami Market</dc:title>
  <dc:creator/>
  <dc:language>en</dc:language>
  <cp:keywords/>
  <dcterms:created xsi:type="dcterms:W3CDTF">2026-07-24T04:03:56Z</dcterms:created>
  <dcterms:modified xsi:type="dcterms:W3CDTF">2026-07-24T04:03:56Z</dcterms:modified>
</cp:coreProperties>
</file>

<file path=docProps/custom.xml><?xml version="1.0" encoding="utf-8"?>
<Properties xmlns="http://schemas.openxmlformats.org/officeDocument/2006/custom-properties" xmlns:vt="http://schemas.openxmlformats.org/officeDocument/2006/docPropsVTypes"/>
</file>