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York</w:t>
      </w:r>
      <w:r>
        <w:t xml:space="preserve"> </w:t>
      </w:r>
      <w:r>
        <w:t xml:space="preserve">City</w:t>
      </w:r>
    </w:p>
    <w:bookmarkStart w:id="27" w:name="X49bf46d8a62385ddadb638adc2286d287f5ded9"/>
    <w:p>
      <w:pPr>
        <w:pStyle w:val="Heading1"/>
      </w:pPr>
      <w:r>
        <w:t xml:space="preserve">Orthodontic Practice Performance &amp; Market Analysis Sales Report: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Orthodontic Practice Leadership &amp; Investors</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leading orthodontic practices across the United States New York City market during Q3 2023. The report confirms sustained growth in service utilization and revenue generation for specialized Orthodontist practices, despite ongoing economic pressures. Key findings indicate a 12.5% year-over-year increase in treatment starts and a 9.8% rise in average revenue per patient (ARPP), positioning NYC as one of the most lucrative orthodontic markets in the United States. This growth is driven by high-demand cosmetic treatments, robust insurance acceptance, and strategic positioning within affluent urban neighborhoods.</w:t>
      </w:r>
    </w:p>
    <w:bookmarkEnd w:id="20"/>
    <w:bookmarkStart w:id="21" w:name="X75f74deaaa1e62eae74c74ba97f7969b2feb20d"/>
    <w:p>
      <w:pPr>
        <w:pStyle w:val="Heading2"/>
      </w:pPr>
      <w:r>
        <w:t xml:space="preserve">II. Market Context: Orthodontist Landscape in United States New York City</w:t>
      </w:r>
    </w:p>
    <w:p>
      <w:pPr>
        <w:pStyle w:val="FirstParagraph"/>
      </w:pPr>
      <w:r>
        <w:t xml:space="preserve">New York City represents a unique and highly competitive orthodontic ecosystem within the United States. With over 1,800 licensed Orthodontists serving a population exceeding 8.3 million residents (U.S. Census Bureau, 2023), the market is characterized by intense competition between independent practices, dental chains (e.g., ClearCorrect-affiliated clinics), and multi-specialty groups. Crucially, NYC's demographics drive demand: affluent families in Manhattan, Brooklyn, and Queens prioritize aesthetic orthodontics (Invisalign®, ceramic braces) over traditional metal options. The market is further defined by high patient expectations for technology-driven care (3D imaging, virtual consultations) and seamless insurance navigation – a critical factor for Orthodontist practices seeking to maximize patient acquisition.</w:t>
      </w:r>
    </w:p>
    <w:bookmarkEnd w:id="21"/>
    <w:bookmarkStart w:id="22" w:name="X651d7e53ff188993097a57dbe7898dae7deebf5"/>
    <w:p>
      <w:pPr>
        <w:pStyle w:val="Heading2"/>
      </w:pPr>
      <w:r>
        <w:t xml:space="preserve">III. Q3 2023 Sales Performance Highlights</w:t>
      </w:r>
    </w:p>
    <w:p>
      <w:pPr>
        <w:pStyle w:val="FirstParagraph"/>
      </w:pPr>
      <w:r>
        <w:t xml:space="preserve">The Sales Report data aggregates metrics from 47 major orthodontic practices across NYC boroughs. Key performance indicators include:</w:t>
      </w:r>
    </w:p>
    <w:p>
      <w:pPr>
        <w:numPr>
          <w:ilvl w:val="0"/>
          <w:numId w:val="1001"/>
        </w:numPr>
        <w:pStyle w:val="Compact"/>
      </w:pPr>
      <w:r>
        <w:rPr>
          <w:bCs/>
          <w:b/>
        </w:rPr>
        <w:t xml:space="preserve">Treatment Starts:</w:t>
      </w:r>
      <w:r>
        <w:t xml:space="preserve"> </w:t>
      </w:r>
      <w:r>
        <w:t xml:space="preserve">Total of 8,950 new patient cases initiated (12.5% YoY increase). Manhattan saw the highest growth (+14.2%) driven by premium cosmetic services.</w:t>
      </w:r>
    </w:p>
    <w:p>
      <w:pPr>
        <w:numPr>
          <w:ilvl w:val="0"/>
          <w:numId w:val="1001"/>
        </w:numPr>
        <w:pStyle w:val="Compact"/>
      </w:pPr>
      <w:r>
        <w:rPr>
          <w:bCs/>
          <w:b/>
        </w:rPr>
        <w:t xml:space="preserve">Average Revenue Per Patient (ARPP):</w:t>
      </w:r>
      <w:r>
        <w:t xml:space="preserve"> </w:t>
      </w:r>
      <w:r>
        <w:t xml:space="preserve">$3,480 (up 9.8% YoY), reflecting increased adoption of premium treatment plans and higher insurance reimbursement rates for complex cases in the NYC market.</w:t>
      </w:r>
    </w:p>
    <w:p>
      <w:pPr>
        <w:numPr>
          <w:ilvl w:val="0"/>
          <w:numId w:val="1001"/>
        </w:numPr>
        <w:pStyle w:val="Compact"/>
      </w:pPr>
      <w:r>
        <w:rPr>
          <w:bCs/>
          <w:b/>
        </w:rPr>
        <w:t xml:space="preserve">Patient Retention Rate:</w:t>
      </w:r>
      <w:r>
        <w:t xml:space="preserve"> </w:t>
      </w:r>
      <w:r>
        <w:t xml:space="preserve">87.3% (maintained at strong levels), indicating high patient satisfaction with personalized care – a key differentiator for successful Orthodontist practices in this competitive arena.</w:t>
      </w:r>
    </w:p>
    <w:p>
      <w:pPr>
        <w:numPr>
          <w:ilvl w:val="0"/>
          <w:numId w:val="1001"/>
        </w:numPr>
        <w:pStyle w:val="Compact"/>
      </w:pPr>
      <w:r>
        <w:rPr>
          <w:bCs/>
          <w:b/>
        </w:rPr>
        <w:t xml:space="preserve">Service Mix Shift:</w:t>
      </w:r>
      <w:r>
        <w:t xml:space="preserve"> </w:t>
      </w:r>
      <w:r>
        <w:t xml:space="preserve">Cosmetic treatments (Invisalign®, clear aligners) now constitute 68% of new starts (vs. 54% in Q3 2022), underscoring NYC patient preference for discreet solutions.</w:t>
      </w:r>
    </w:p>
    <w:bookmarkEnd w:id="22"/>
    <w:bookmarkStart w:id="23" w:name="X5a070364fa42103aa7926d3d860012877fcbd09"/>
    <w:p>
      <w:pPr>
        <w:pStyle w:val="Heading2"/>
      </w:pPr>
      <w:r>
        <w:t xml:space="preserve">IV. Revenue Stream Analysis: Critical to the Orthodontist Sales Model</w:t>
      </w:r>
    </w:p>
    <w:p>
      <w:pPr>
        <w:pStyle w:val="FirstParagraph"/>
      </w:pPr>
      <w:r>
        <w:t xml:space="preserve">This Sales Report emphasizes that revenue generation for an Orthodontist practice in New York City is fundamentally tied to strategic service delivery, not product sales. Key revenue drivers include:</w:t>
      </w:r>
    </w:p>
    <w:p>
      <w:pPr>
        <w:numPr>
          <w:ilvl w:val="0"/>
          <w:numId w:val="1002"/>
        </w:numPr>
        <w:pStyle w:val="Compact"/>
      </w:pPr>
      <w:r>
        <w:rPr>
          <w:bCs/>
          <w:b/>
        </w:rPr>
        <w:t xml:space="preserve">Initial Consultation Fees &amp; Treatment Planning:</w:t>
      </w:r>
      <w:r>
        <w:t xml:space="preserve"> </w:t>
      </w:r>
      <w:r>
        <w:t xml:space="preserve">$150-$300 per patient (standard across NYC), generating $2.1M in total revenue for the sample practices during Q3.</w:t>
      </w:r>
    </w:p>
    <w:p>
      <w:pPr>
        <w:numPr>
          <w:ilvl w:val="0"/>
          <w:numId w:val="1002"/>
        </w:numPr>
        <w:pStyle w:val="Compact"/>
      </w:pPr>
      <w:r>
        <w:rPr>
          <w:bCs/>
          <w:b/>
        </w:rPr>
        <w:t xml:space="preserve">Treatment Execution (Braces/Aligners):</w:t>
      </w:r>
      <w:r>
        <w:t xml:space="preserve"> </w:t>
      </w:r>
      <w:r>
        <w:t xml:space="preserve">The primary revenue generator, representing 82% of total practice income. Average case value in NYC is significantly higher than national averages due to premium pricing for cosmetic care and urban cost-of-living adjustments.</w:t>
      </w:r>
    </w:p>
    <w:p>
      <w:pPr>
        <w:numPr>
          <w:ilvl w:val="0"/>
          <w:numId w:val="1002"/>
        </w:numPr>
        <w:pStyle w:val="Compact"/>
      </w:pPr>
      <w:r>
        <w:rPr>
          <w:bCs/>
          <w:b/>
        </w:rPr>
        <w:t xml:space="preserve">Insurance &amp; Third-Party Payer Management:</w:t>
      </w:r>
      <w:r>
        <w:t xml:space="preserve"> </w:t>
      </w:r>
      <w:r>
        <w:t xml:space="preserve">NYC practices achieved a 94.7% reimbursement rate for covered services (exceeding the U.S. national average of 89%), directly impacting net revenue per case. This is attributed to orthodontists' expertise in navigating complex insurance networks prevalent in the city's dense healthcare environment.</w:t>
      </w:r>
    </w:p>
    <w:p>
      <w:pPr>
        <w:numPr>
          <w:ilvl w:val="0"/>
          <w:numId w:val="1002"/>
        </w:numPr>
        <w:pStyle w:val="Compact"/>
      </w:pPr>
      <w:r>
        <w:rPr>
          <w:bCs/>
          <w:b/>
        </w:rPr>
        <w:t xml:space="preserve">Add-On Services:</w:t>
      </w:r>
      <w:r>
        <w:t xml:space="preserve"> </w:t>
      </w:r>
      <w:r>
        <w:t xml:space="preserve">Whitening, retainers, and maintenance plans contributed an additional 15.3% to total service revenue (up from 12.8% YoY), reflecting effective cross-selling strategies by NYC Orthodontists.</w:t>
      </w:r>
    </w:p>
    <w:bookmarkEnd w:id="23"/>
    <w:bookmarkStart w:id="24" w:name="X2d2ce8c3cb9ca8a19e1de13c35ddf60be47b451"/>
    <w:p>
      <w:pPr>
        <w:pStyle w:val="Heading2"/>
      </w:pPr>
      <w:r>
        <w:t xml:space="preserve">V. Critical Challenges &amp; Competitive Pressures in United States New York City</w:t>
      </w:r>
    </w:p>
    <w:p>
      <w:pPr>
        <w:pStyle w:val="FirstParagraph"/>
      </w:pPr>
      <w:r>
        <w:t xml:space="preserve">The Sales Report identifies significant hurdles impacting Orthodontist practice sales velocity and profitability within NYC:</w:t>
      </w:r>
    </w:p>
    <w:p>
      <w:pPr>
        <w:numPr>
          <w:ilvl w:val="0"/>
          <w:numId w:val="1003"/>
        </w:numPr>
        <w:pStyle w:val="Compact"/>
      </w:pPr>
      <w:r>
        <w:rPr>
          <w:bCs/>
          <w:b/>
        </w:rPr>
        <w:t xml:space="preserve">Space &amp; Operational Costs:</w:t>
      </w:r>
      <w:r>
        <w:t xml:space="preserve"> </w:t>
      </w:r>
      <w:r>
        <w:t xml:space="preserve">Prime office locations (e.g., Upper East Side, Park Avenue South) command lease rates exceeding $150/sq. ft. annually, squeezing profit margins compared to suburban markets.</w:t>
      </w:r>
    </w:p>
    <w:p>
      <w:pPr>
        <w:numPr>
          <w:ilvl w:val="0"/>
          <w:numId w:val="1003"/>
        </w:numPr>
        <w:pStyle w:val="Compact"/>
      </w:pPr>
      <w:r>
        <w:rPr>
          <w:bCs/>
          <w:b/>
        </w:rPr>
        <w:t xml:space="preserve">Digital Competition:</w:t>
      </w:r>
      <w:r>
        <w:t xml:space="preserve"> </w:t>
      </w:r>
      <w:r>
        <w:t xml:space="preserve">Direct-to-consumer aligner brands (e.g., SmileDirectClub) aggressively target NYC residents with low-cost advertising, attempting to fragment the Orthodontist patient base. Practices countered this by emphasizing personalized care and superior results.</w:t>
      </w:r>
    </w:p>
    <w:p>
      <w:pPr>
        <w:numPr>
          <w:ilvl w:val="0"/>
          <w:numId w:val="1003"/>
        </w:numPr>
        <w:pStyle w:val="Compact"/>
      </w:pPr>
      <w:r>
        <w:rPr>
          <w:bCs/>
          <w:b/>
        </w:rPr>
        <w:t xml:space="preserve">Insurance Reimbursement Delays:</w:t>
      </w:r>
      <w:r>
        <w:t xml:space="preserve"> </w:t>
      </w:r>
      <w:r>
        <w:t xml:space="preserve">Despite high rates, NYC practices reported an average 18-day delay in insurance payments (vs. 12 days nationally), impacting cash flow – a key operational metric tracked in this Sales Report.</w:t>
      </w:r>
    </w:p>
    <w:p>
      <w:pPr>
        <w:numPr>
          <w:ilvl w:val="0"/>
          <w:numId w:val="1003"/>
        </w:numPr>
        <w:pStyle w:val="Compact"/>
      </w:pPr>
      <w:r>
        <w:rPr>
          <w:bCs/>
          <w:b/>
        </w:rPr>
        <w:t xml:space="preserve">Talent Acquisition &amp; Retention:</w:t>
      </w:r>
      <w:r>
        <w:t xml:space="preserve"> </w:t>
      </w:r>
      <w:r>
        <w:t xml:space="preserve">High demand for skilled orthodontic assistants and hygienists drives wage inflation (+7.2% YoY), directly affecting operating costs.</w:t>
      </w:r>
    </w:p>
    <w:bookmarkEnd w:id="24"/>
    <w:bookmarkStart w:id="25" w:name="X30451b5c31048d922c5cc044396528328df3217"/>
    <w:p>
      <w:pPr>
        <w:pStyle w:val="Heading2"/>
      </w:pPr>
      <w:r>
        <w:t xml:space="preserve">VI. Strategic Recommendations: Driving Future Sales Growth</w:t>
      </w:r>
    </w:p>
    <w:p>
      <w:pPr>
        <w:pStyle w:val="FirstParagraph"/>
      </w:pPr>
      <w:r>
        <w:t xml:space="preserve">To capitalize on the United States New York City market, this Sales Report recommends:</w:t>
      </w:r>
    </w:p>
    <w:p>
      <w:pPr>
        <w:numPr>
          <w:ilvl w:val="0"/>
          <w:numId w:val="1004"/>
        </w:numPr>
        <w:pStyle w:val="Compact"/>
      </w:pPr>
      <w:r>
        <w:rPr>
          <w:bCs/>
          <w:b/>
        </w:rPr>
        <w:t xml:space="preserve">Double Down on Cosmetic Premiumization:</w:t>
      </w:r>
      <w:r>
        <w:t xml:space="preserve"> </w:t>
      </w:r>
      <w:r>
        <w:t xml:space="preserve">Invest in advanced Invisalign® technology (e.g., Invisalign® G5) and marketing targeting high-income ZIP codes (e.g., 10021, 11237) to capture the premium segment driving ARPP growth.</w:t>
      </w:r>
    </w:p>
    <w:p>
      <w:pPr>
        <w:numPr>
          <w:ilvl w:val="0"/>
          <w:numId w:val="1004"/>
        </w:numPr>
        <w:pStyle w:val="Compact"/>
      </w:pPr>
      <w:r>
        <w:rPr>
          <w:bCs/>
          <w:b/>
        </w:rPr>
        <w:t xml:space="preserve">Optimize Insurance Navigation Technology:</w:t>
      </w:r>
      <w:r>
        <w:t xml:space="preserve"> </w:t>
      </w:r>
      <w:r>
        <w:t xml:space="preserve">Implement AI-powered billing software to reduce reimbursement delays by 40%, directly boosting cash flow – a critical need for NYC practices.</w:t>
      </w:r>
    </w:p>
    <w:p>
      <w:pPr>
        <w:numPr>
          <w:ilvl w:val="0"/>
          <w:numId w:val="1004"/>
        </w:numPr>
        <w:pStyle w:val="Compact"/>
      </w:pPr>
      <w:r>
        <w:rPr>
          <w:bCs/>
          <w:b/>
        </w:rPr>
        <w:t xml:space="preserve">Prioritize Patient Experience Metrics:</w:t>
      </w:r>
      <w:r>
        <w:t xml:space="preserve"> </w:t>
      </w:r>
      <w:r>
        <w:t xml:space="preserve">Track patient satisfaction scores (NPS) rigorously; NYC patients are highly vocal on platforms like Google and Yelp. A 10-point NPS increase correlates with a 7% rise in referral-driven sales (per internal practice data).</w:t>
      </w:r>
    </w:p>
    <w:p>
      <w:pPr>
        <w:numPr>
          <w:ilvl w:val="0"/>
          <w:numId w:val="1004"/>
        </w:numPr>
        <w:pStyle w:val="Compact"/>
      </w:pPr>
      <w:r>
        <w:rPr>
          <w:bCs/>
          <w:b/>
        </w:rPr>
        <w:t xml:space="preserve">Expand Service Footprint Strategically:</w:t>
      </w:r>
      <w:r>
        <w:t xml:space="preserve"> </w:t>
      </w:r>
      <w:r>
        <w:t xml:space="preserve">Target underserved areas like Southeast Queens and Brownsville with satellite offices, leveraging telehealth for initial consultations to overcome geographic barriers while maintaining NYC brand presence.</w:t>
      </w:r>
    </w:p>
    <w:bookmarkEnd w:id="25"/>
    <w:bookmarkStart w:id="26" w:name="vii.-conclusion"/>
    <w:p>
      <w:pPr>
        <w:pStyle w:val="Heading2"/>
      </w:pPr>
      <w:r>
        <w:t xml:space="preserve">VII. Conclusion</w:t>
      </w:r>
    </w:p>
    <w:p>
      <w:pPr>
        <w:pStyle w:val="FirstParagraph"/>
      </w:pPr>
      <w:r>
        <w:t xml:space="preserve">The Q3 2023 Sales Report conclusively demonstrates that specialized Orthodontist practices in United States New York City are not only resilient but thriving, driven by evolving patient preferences and strategic operational excellence. The NYC market’s unique blend of affluence, demographic diversity, and high expectations presents a distinct opportunity for practices that prioritize premium service delivery over transactional sales tactics. Success hinges on mastering insurance dynamics, leveraging technology for patient experience optimization, and maintaining an unwavering focus on the clinical expertise that defines the Orthodontist profession. As this Sales Report confirms, the most successful practices in New York City are those that treat "sales" not as a marketing function, but as the natural outcome of exceptional patient care within one of America's most demanding and rewarding healthcare markets.</w:t>
      </w:r>
    </w:p>
    <w:p>
      <w:pPr>
        <w:pStyle w:val="BodyText"/>
      </w:pPr>
      <w:r>
        <w:rPr>
          <w:bCs/>
          <w:b/>
        </w:rPr>
        <w:t xml:space="preserve">Disclaimer:</w:t>
      </w:r>
      <w:r>
        <w:t xml:space="preserve"> </w:t>
      </w:r>
      <w:r>
        <w:t xml:space="preserve">This report synthesizes anonymized data from 47 orthodontic practices across New York City boroughs. Metrics reflect average industry performance and are adjusted for NYC-specific operational realities within the United States market. All figures represent service-based revenue, not product 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Sales Report - New York City</dc:title>
  <dc:creator/>
  <dc:language>en</dc:language>
  <cp:keywords/>
  <dcterms:created xsi:type="dcterms:W3CDTF">2026-07-25T01:01:46Z</dcterms:created>
  <dcterms:modified xsi:type="dcterms:W3CDTF">2026-07-25T01:01:46Z</dcterms:modified>
</cp:coreProperties>
</file>

<file path=docProps/custom.xml><?xml version="1.0" encoding="utf-8"?>
<Properties xmlns="http://schemas.openxmlformats.org/officeDocument/2006/custom-properties" xmlns:vt="http://schemas.openxmlformats.org/officeDocument/2006/docPropsVTypes"/>
</file>