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7" w:name="Xfbf82b3671ca120731d33e6a34e4703e9e6fff5"/>
    <w:p>
      <w:pPr>
        <w:pStyle w:val="Heading1"/>
      </w:pPr>
      <w:r>
        <w:t xml:space="preserve">Comprehensive Sales Report: Orthodontic Services Market Analysis and Performance in Uzbekistan Tashkent</w:t>
      </w:r>
    </w:p>
    <w:bookmarkStart w:id="20" w:name="Xc8f7a14e0305f64276624e2af4ec6cc50b74a70"/>
    <w:p>
      <w:pPr>
        <w:pStyle w:val="Heading2"/>
      </w:pPr>
      <w:r>
        <w:t xml:space="preserve">Introduction: The Evolving Landscape of Orthodontics in Tashkent</w:t>
      </w:r>
    </w:p>
    <w:p>
      <w:pPr>
        <w:pStyle w:val="FirstParagraph"/>
      </w:pPr>
      <w:r>
        <w:t xml:space="preserve">This Sales Report provides an in-depth analysis of orthodontic service performance within the dynamic healthcare market of Uzbekistan Tashkent. As the capital city and economic hub of Uzbekistan, Tashkent represents a critical growth frontier for specialized dental care. The orthodontic sector has experienced remarkable expansion over the past three years, driven by rising disposable incomes, increasing health awareness, and growing parental investment in children's dental aesthetics. This report details our orthodontist practice's performance metrics, market positioning, and strategic initiatives specifically tailored to the Uzbekistan Tashkent demographic landscape. Understanding the unique cultural and economic context of Tashkent is paramount for any successful orthodontic business development within this emerging market.</w:t>
      </w:r>
    </w:p>
    <w:bookmarkEnd w:id="20"/>
    <w:bookmarkStart w:id="21" w:name="X1c24badfe756c83538e38712ac58b65af72ee74"/>
    <w:p>
      <w:pPr>
        <w:pStyle w:val="Heading2"/>
      </w:pPr>
      <w:r>
        <w:t xml:space="preserve">Market Analysis: Demand Drivers in Uzbekistan Tashkent</w:t>
      </w:r>
    </w:p>
    <w:p>
      <w:pPr>
        <w:pStyle w:val="FirstParagraph"/>
      </w:pPr>
      <w:r>
        <w:t xml:space="preserve">The orthodontist market in Tashkent has demonstrated a compound annual growth rate (CAGR) of 18.7% since 2020, significantly outperforming the national dental care average. Key demand drivers include: (1) A young population under 35 comprising 68% of Tashkent's residents, creating strong pediatric and adolescent orthodontic demand; (2) Rising middle-class affluence with a 24% increase in household spending on specialized healthcare since 2021; (3) Cultural shifts toward cosmetic dental care as social status indicators, particularly among urban professionals. Notably, the perception of orthodontic treatment has evolved from purely medical necessity to a desirable aesthetic investment – a paradigm shift critical for our sales strategy. This transformation is especially pronounced in Tashkent's affluent districts like Mirzo Ulug'bek and Chilanzar, where 42% of households now prioritize dental aesthetics over cost considerations.</w:t>
      </w:r>
    </w:p>
    <w:bookmarkEnd w:id="21"/>
    <w:bookmarkStart w:id="22" w:name="sales-performance-breakdown-q3-2023-data"/>
    <w:p>
      <w:pPr>
        <w:pStyle w:val="Heading2"/>
      </w:pPr>
      <w:r>
        <w:t xml:space="preserve">Sales Performance Breakdown: Q3 2023 Data</w:t>
      </w:r>
    </w:p>
    <w:p>
      <w:pPr>
        <w:pStyle w:val="FirstParagraph"/>
      </w:pPr>
      <w:r>
        <w:t xml:space="preserve">Our orthodontist practice in Tashkent achieved exceptional results during the third quarter of 2023, with total revenue reaching $148,500 – a 31% increase from Q3 2022. This performance significantly outpaces regional averages (19%) and positions us as market leader in Tashkent's premium orthodontic segment. Key metrics include:</w:t>
      </w:r>
    </w:p>
    <w:p>
      <w:pPr>
        <w:numPr>
          <w:ilvl w:val="0"/>
          <w:numId w:val="1001"/>
        </w:numPr>
        <w:pStyle w:val="Compact"/>
      </w:pPr>
      <w:r>
        <w:rPr>
          <w:bCs/>
          <w:b/>
        </w:rPr>
        <w:t xml:space="preserve">Patient Acquisition:</w:t>
      </w:r>
      <w:r>
        <w:t xml:space="preserve"> </w:t>
      </w:r>
      <w:r>
        <w:t xml:space="preserve">87 new orthodontic cases (up 29% YoY), with 64% being new-to-market patients through targeted digital campaigns</w:t>
      </w:r>
    </w:p>
    <w:p>
      <w:pPr>
        <w:numPr>
          <w:ilvl w:val="0"/>
          <w:numId w:val="1001"/>
        </w:numPr>
        <w:pStyle w:val="Compact"/>
      </w:pPr>
      <w:r>
        <w:rPr>
          <w:bCs/>
          <w:b/>
        </w:rPr>
        <w:t xml:space="preserve">Treatment Mix:</w:t>
      </w:r>
      <w:r>
        <w:t xml:space="preserve"> </w:t>
      </w:r>
      <w:r>
        <w:t xml:space="preserve">Clear aligners now represent 58% of cases (vs. 32% in Q3 2022), reflecting strong consumer preference for discreet solutions in Tashkent's professional environment</w:t>
      </w:r>
    </w:p>
    <w:p>
      <w:pPr>
        <w:numPr>
          <w:ilvl w:val="0"/>
          <w:numId w:val="1001"/>
        </w:numPr>
        <w:pStyle w:val="Compact"/>
      </w:pPr>
      <w:r>
        <w:rPr>
          <w:bCs/>
          <w:b/>
        </w:rPr>
        <w:t xml:space="preserve">Patient Retention:</w:t>
      </w:r>
      <w:r>
        <w:t xml:space="preserve"> </w:t>
      </w:r>
      <w:r>
        <w:t xml:space="preserve">89% follow-up rate for ongoing treatment, exceeding Tashkent industry average of 76%</w:t>
      </w:r>
    </w:p>
    <w:p>
      <w:pPr>
        <w:numPr>
          <w:ilvl w:val="0"/>
          <w:numId w:val="1001"/>
        </w:numPr>
        <w:pStyle w:val="Compact"/>
      </w:pPr>
      <w:r>
        <w:rPr>
          <w:bCs/>
          <w:b/>
        </w:rPr>
        <w:t xml:space="preserve">Revenue Streams:</w:t>
      </w:r>
      <w:r>
        <w:t xml:space="preserve"> </w:t>
      </w:r>
      <w:r>
        <w:t xml:space="preserve">Premium clear aligner treatments (28%), traditional braces (45%), and preventive care packages (27%)</w:t>
      </w:r>
    </w:p>
    <w:bookmarkEnd w:id="22"/>
    <w:bookmarkStart w:id="23" w:name="X79dfc0c86ff2d01ddfe6c1cee8b6ef14b3ebadb"/>
    <w:p>
      <w:pPr>
        <w:pStyle w:val="Heading2"/>
      </w:pPr>
      <w:r>
        <w:t xml:space="preserve">Strategic Initiatives Driving Growth in Uzbekistan Tashkent</w:t>
      </w:r>
    </w:p>
    <w:p>
      <w:pPr>
        <w:pStyle w:val="FirstParagraph"/>
      </w:pPr>
      <w:r>
        <w:t xml:space="preserve">The success of our orthodontist practice stems from culturally intelligent initiatives specifically designed for Tashkent's market. We implemented a multilingual patient experience protocol with Uzbek, Russian, and English support staff – a critical factor in Tashkent's diverse healthcare consumer base. Additionally, we launched the "Tashkent Smiles for Tomorrow" community program offering free orthodontic screenings at 15 public schools across the city's five districts. This initiative generated 237 qualified leads in Q3 alone and significantly strengthened brand trust within Uzbekistan Tashkent's educational institutions.</w:t>
      </w:r>
    </w:p>
    <w:p>
      <w:pPr>
        <w:pStyle w:val="BodyText"/>
      </w:pPr>
      <w:r>
        <w:t xml:space="preserve">Our digital marketing strategy has been pivotal, with localized Instagram campaigns featuring Tashkent-based influencers showcasing discreet orthodontic journeys. These efforts resulted in a 40% conversion rate from social media inquiries – twice the industry benchmark. Crucially, we've partnered with local pharmacies for "Orthodontic Care Kits" (toothbrushes, mouthwash, aligner cleaning solutions) available at over 200 locations throughout Tashkent city limits. This strategic retail integration has become a major revenue driver, contributing $18,450 in Q3.</w:t>
      </w:r>
    </w:p>
    <w:bookmarkEnd w:id="23"/>
    <w:bookmarkStart w:id="24" w:name="challenges-and-market-adaptations"/>
    <w:p>
      <w:pPr>
        <w:pStyle w:val="Heading2"/>
      </w:pPr>
      <w:r>
        <w:t xml:space="preserve">Challenges and Market Adaptations</w:t>
      </w:r>
    </w:p>
    <w:p>
      <w:pPr>
        <w:pStyle w:val="FirstParagraph"/>
      </w:pPr>
      <w:r>
        <w:t xml:space="preserve">Operating an orthodontist practice in Uzbekistan Tashkent presents unique challenges requiring agile adaptation. The primary obstacle remains limited insurance coverage for cosmetic orthodontics – only 12% of patients have applicable insurance, compared to 54% in Western markets. To address this, we developed the "Tashkent Affordable Care" payment plan with zero-interest financing through our partnership with Tashkent's leading microfinance institutions (MFIs), enabling 67% of new patients to secure treatment without upfront costs.</w:t>
      </w:r>
    </w:p>
    <w:p>
      <w:pPr>
        <w:pStyle w:val="BodyText"/>
      </w:pPr>
      <w:r>
        <w:t xml:space="preserve">Another key challenge was overcoming cultural hesitancy toward Western dental practices. We resolved this by incorporating traditional Uzbek values into our patient education – emphasizing that "a beautiful smile reflects family honor" (mehrob) in our consultations. Our orthodontist team now includes two local female dentists who speak fluent Uzbek, significantly improving communication with older patients and families.</w:t>
      </w:r>
    </w:p>
    <w:bookmarkEnd w:id="24"/>
    <w:bookmarkStart w:id="25" w:name="X0f50ca9801d8b09ba4174de7d1ae2e4f3833014"/>
    <w:p>
      <w:pPr>
        <w:pStyle w:val="Heading2"/>
      </w:pPr>
      <w:r>
        <w:t xml:space="preserve">Future Outlook: Strategic Growth for Orthodontic Services in Tashkent</w:t>
      </w:r>
    </w:p>
    <w:p>
      <w:pPr>
        <w:pStyle w:val="FirstParagraph"/>
      </w:pPr>
      <w:r>
        <w:t xml:space="preserve">Looking ahead to 2024, our sales strategy focuses on three pillars specifically engineered for the Uzbekistan Tashkent market:</w:t>
      </w:r>
    </w:p>
    <w:p>
      <w:pPr>
        <w:numPr>
          <w:ilvl w:val="0"/>
          <w:numId w:val="1002"/>
        </w:numPr>
        <w:pStyle w:val="Compact"/>
      </w:pPr>
      <w:r>
        <w:rPr>
          <w:bCs/>
          <w:b/>
        </w:rPr>
        <w:t xml:space="preserve">Geographic Expansion:</w:t>
      </w:r>
      <w:r>
        <w:t xml:space="preserve"> </w:t>
      </w:r>
      <w:r>
        <w:t xml:space="preserve">Opening a second clinic in Tashkent's growing residential zone of Bektemir, targeting the rapidly expanding middle-class population there.</w:t>
      </w:r>
    </w:p>
    <w:p>
      <w:pPr>
        <w:numPr>
          <w:ilvl w:val="0"/>
          <w:numId w:val="1002"/>
        </w:numPr>
        <w:pStyle w:val="Compact"/>
      </w:pPr>
      <w:r>
        <w:rPr>
          <w:bCs/>
          <w:b/>
        </w:rPr>
        <w:t xml:space="preserve">Treatment Innovation:</w:t>
      </w:r>
      <w:r>
        <w:t xml:space="preserve"> </w:t>
      </w:r>
      <w:r>
        <w:t xml:space="preserve">Introducing Uzbekistan's first locally manufactured clear aligner system developed through partnership with Tashkent State Medical University – expected to reduce costs by 35% while maintaining quality standards.</w:t>
      </w:r>
    </w:p>
    <w:p>
      <w:pPr>
        <w:numPr>
          <w:ilvl w:val="0"/>
          <w:numId w:val="1002"/>
        </w:numPr>
        <w:pStyle w:val="Compact"/>
      </w:pPr>
      <w:r>
        <w:rPr>
          <w:bCs/>
          <w:b/>
        </w:rPr>
        <w:t xml:space="preserve">Corporate Wellness Partnerships:</w:t>
      </w:r>
      <w:r>
        <w:t xml:space="preserve"> </w:t>
      </w:r>
      <w:r>
        <w:t xml:space="preserve">Launching "Smile Health" programs with Tashkent's top 20 corporations, offering discounted orthodontic care as employee benefit packages – projected to generate $120,000 in new annual revenue.</w:t>
      </w:r>
    </w:p>
    <w:bookmarkEnd w:id="25"/>
    <w:bookmarkStart w:id="26" w:name="Xfc6f16e37386cfe06d7d981c205e15af2d59ff3"/>
    <w:p>
      <w:pPr>
        <w:pStyle w:val="Heading2"/>
      </w:pPr>
      <w:r>
        <w:t xml:space="preserve">Conclusion: Positioning Orthodontic Excellence in Uzbekistan Tashkent</w:t>
      </w:r>
    </w:p>
    <w:p>
      <w:pPr>
        <w:pStyle w:val="FirstParagraph"/>
      </w:pPr>
      <w:r>
        <w:t xml:space="preserve">This Sales Report confirms that the orthodontist market in Tashkent, Uzbekistan continues to demonstrate robust growth potential with strategic localization as the decisive factor for success. Our practice has established itself as a leader by deeply understanding Tashkent's cultural nuances and economic realities – from implementing affordable payment solutions that resonate with local financial habits to creating marketing campaigns that celebrate Uzbek values alongside dental excellence. The data clearly shows that orthodontic services are transitioning from luxury to essential healthcare in Uzbekistan Tashkent, with our sales performance directly reflecting this market evolution.</w:t>
      </w:r>
    </w:p>
    <w:p>
      <w:pPr>
        <w:pStyle w:val="BodyText"/>
      </w:pPr>
      <w:r>
        <w:t xml:space="preserve">As we move into 2024, our continued investment in community engagement through the "Tashkent Smiles for Tomorrow" program and strategic partnerships will solidify our position as the premier orthodontist practice serving Uzbekistan Tashkent. The combination of culturally attuned service delivery, innovative financial models, and technology integration positions us for sustained market leadership. We project 25% revenue growth in 2024 through these targeted initiatives, further cementing orthodontic care as a vital component of comprehensive dental health in the heart of Uzbekistan's capital city.</w:t>
      </w:r>
    </w:p>
    <w:p>
      <w:pPr>
        <w:pStyle w:val="BodyText"/>
      </w:pPr>
      <w:r>
        <w:rPr>
          <w:bCs/>
          <w:b/>
        </w:rPr>
        <w:t xml:space="preserve">Prepared by:</w:t>
      </w:r>
      <w:r>
        <w:t xml:space="preserve"> </w:t>
      </w:r>
      <w:r>
        <w:t xml:space="preserve">Tashkent Orthodontic Sales Leadership Team</w:t>
      </w:r>
      <w:r>
        <w:br/>
      </w:r>
      <w:r>
        <w:rPr>
          <w:bCs/>
          <w:b/>
        </w:rPr>
        <w:t xml:space="preserve">Date:</w:t>
      </w:r>
      <w:r>
        <w:t xml:space="preserve"> </w:t>
      </w:r>
      <w:r>
        <w:t xml:space="preserve">October 26, 2023</w:t>
      </w:r>
      <w:r>
        <w:br/>
      </w:r>
      <w:r>
        <w:rPr>
          <w:bCs/>
          <w:b/>
        </w:rPr>
        <w:t xml:space="preserve">Report Scope:</w:t>
      </w:r>
      <w:r>
        <w:t xml:space="preserve"> </w:t>
      </w:r>
      <w:r>
        <w:t xml:space="preserve">Orthodontic Services Market in Uzbekistan Tashkent (Q3 2023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Services in Uzbekistan Tashkent</dc:title>
  <dc:creator/>
  <dc:language>en</dc:language>
  <cp:keywords/>
  <dcterms:created xsi:type="dcterms:W3CDTF">2026-07-24T16:50:55Z</dcterms:created>
  <dcterms:modified xsi:type="dcterms:W3CDTF">2026-07-24T16:50:55Z</dcterms:modified>
</cp:coreProperties>
</file>

<file path=docProps/custom.xml><?xml version="1.0" encoding="utf-8"?>
<Properties xmlns="http://schemas.openxmlformats.org/officeDocument/2006/custom-properties" xmlns:vt="http://schemas.openxmlformats.org/officeDocument/2006/docPropsVTypes"/>
</file>