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Orthodontic</w:t>
      </w:r>
      <w:r>
        <w:t xml:space="preserve"> </w:t>
      </w:r>
      <w:r>
        <w:t xml:space="preserve">Market</w:t>
      </w:r>
      <w:r>
        <w:t xml:space="preserve"> </w:t>
      </w:r>
      <w:r>
        <w:t xml:space="preserve">in</w:t>
      </w:r>
      <w:r>
        <w:t xml:space="preserve"> </w:t>
      </w:r>
      <w:r>
        <w:t xml:space="preserve">Caracas,</w:t>
      </w:r>
      <w:r>
        <w:t xml:space="preserve"> </w:t>
      </w:r>
      <w:r>
        <w:t xml:space="preserve">Venezuela</w:t>
      </w:r>
    </w:p>
    <w:bookmarkStart w:id="27" w:name="X085b373ced8ffb5de765507b4e659100dbe1494"/>
    <w:p>
      <w:pPr>
        <w:pStyle w:val="Heading1"/>
      </w:pPr>
      <w:r>
        <w:t xml:space="preserve">Comprehensive Sales Report: Orthodontic Market Analysis for Caracas, Venezuela (Q3 2023)</w:t>
      </w:r>
    </w:p>
    <w:p>
      <w:pPr>
        <w:pStyle w:val="FirstParagraph"/>
      </w:pPr>
      <w:r>
        <w:rPr>
          <w:bCs/>
          <w:b/>
        </w:rPr>
        <w:t xml:space="preserve">Prepared For:</w:t>
      </w:r>
      <w:r>
        <w:t xml:space="preserve"> </w:t>
      </w:r>
      <w:r>
        <w:t xml:space="preserve">Dental Industry Stakeholders &amp; Investment Partners</w:t>
      </w:r>
      <w:r>
        <w:br/>
      </w:r>
      <w:r>
        <w:rPr>
          <w:bCs/>
          <w:b/>
        </w:rPr>
        <w:t xml:space="preserve">Date:</w:t>
      </w:r>
      <w:r>
        <w:t xml:space="preserve"> </w:t>
      </w:r>
      <w:r>
        <w:t xml:space="preserve">October 26, 2023</w:t>
      </w:r>
      <w:r>
        <w:br/>
      </w:r>
      <w:r>
        <w:rPr>
          <w:bCs/>
          <w:b/>
        </w:rPr>
        <w:t xml:space="preserve">Report Focus:</w:t>
      </w:r>
      <w:r>
        <w:t xml:space="preserve"> </w:t>
      </w:r>
      <w:r>
        <w:t xml:space="preserve">Sales Performance, Market Dynamics &amp; Strategic Outlook for Orthodontists in Caracas, Venezuela</w:t>
      </w:r>
    </w:p>
    <w:bookmarkStart w:id="20" w:name="executive-summary"/>
    <w:p>
      <w:pPr>
        <w:pStyle w:val="Heading2"/>
      </w:pPr>
      <w:r>
        <w:t xml:space="preserve">Executive Summary</w:t>
      </w:r>
    </w:p>
    <w:p>
      <w:pPr>
        <w:pStyle w:val="FirstParagraph"/>
      </w:pPr>
      <w:r>
        <w:t xml:space="preserve">This Sales Report provides a critical analysis of the orthodontic service market within Venezuela Caracas during Q3 2023. Despite unprecedented economic volatility and supply chain disruptions affecting all sectors of healthcare in Venezuela, the Orthodontist profession has demonstrated remarkable resilience. While traditional sales volumes remain constrained by hyperinflation and currency instability, innovative business models among local Orthodontists have stabilized patient acquisition rates in key urban centers. This document details the nuanced performance metrics, emerging challenges, and actionable strategies for sustaining growth within this essential healthcare segment in Caracas.</w:t>
      </w:r>
    </w:p>
    <w:bookmarkEnd w:id="20"/>
    <w:bookmarkStart w:id="21" w:name="X75214d1e9c2181fe4ee06153078b9c0d47317f7"/>
    <w:p>
      <w:pPr>
        <w:pStyle w:val="Heading2"/>
      </w:pPr>
      <w:r>
        <w:t xml:space="preserve">Market Context: Venezuela Caracas Economic Landscape</w:t>
      </w:r>
    </w:p>
    <w:p>
      <w:pPr>
        <w:pStyle w:val="FirstParagraph"/>
      </w:pPr>
      <w:r>
        <w:t xml:space="preserve">The orthodontic industry in Venezuela Caracas operates within a uniquely challenging environment. The ongoing economic crisis has driven consumer purchasing power to historic lows, with the official exchange rate rendering imported dental materials nearly unaffordable. Consequently, this Sales Report emphasizes the adaptation strategies of Orthodontists rather than pure revenue growth. Key contextual factors impacting sales include:</w:t>
      </w:r>
    </w:p>
    <w:p>
      <w:pPr>
        <w:numPr>
          <w:ilvl w:val="0"/>
          <w:numId w:val="1001"/>
        </w:numPr>
        <w:pStyle w:val="Compact"/>
      </w:pPr>
      <w:r>
        <w:t xml:space="preserve">Hyperinflation (estimated 150% annually) drastically reducing patient affordability for multi-phase treatments.</w:t>
      </w:r>
    </w:p>
    <w:p>
      <w:pPr>
        <w:numPr>
          <w:ilvl w:val="0"/>
          <w:numId w:val="1001"/>
        </w:numPr>
        <w:pStyle w:val="Compact"/>
      </w:pPr>
      <w:r>
        <w:t xml:space="preserve">Severe shortages of imported orthodontic materials (brackets, wires, aligners), forcing clinics to rely on limited local alternatives or delayed treatments.</w:t>
      </w:r>
    </w:p>
    <w:p>
      <w:pPr>
        <w:numPr>
          <w:ilvl w:val="0"/>
          <w:numId w:val="1001"/>
        </w:numPr>
        <w:pStyle w:val="Compact"/>
      </w:pPr>
      <w:r>
        <w:t xml:space="preserve">Currency devaluation causing drastic mismatches between dollar-denominated equipment costs and bolívar-based service fees.</w:t>
      </w:r>
    </w:p>
    <w:p>
      <w:pPr>
        <w:pStyle w:val="FirstParagraph"/>
      </w:pPr>
      <w:r>
        <w:t xml:space="preserve">Despite these pressures, the Orthodontist community in Caracas has shown significant entrepreneurial agility, directly influencing this Sales Report's findings.</w:t>
      </w:r>
    </w:p>
    <w:bookmarkEnd w:id="21"/>
    <w:bookmarkStart w:id="22" w:name="sales-performance-analysis-caracas-focus"/>
    <w:p>
      <w:pPr>
        <w:pStyle w:val="Heading2"/>
      </w:pPr>
      <w:r>
        <w:t xml:space="preserve">Sales Performance Analysis (Caracas Focus)</w:t>
      </w:r>
    </w:p>
    <w:p>
      <w:pPr>
        <w:pStyle w:val="FirstParagraph"/>
      </w:pPr>
      <w:r>
        <w:t xml:space="preserve">This Sales Report categorizes performance across 35 orthodontic practices operating within Caracas. Key metrics reveal a market that prioritized patient retention over new client acquisition during Q3:</w:t>
      </w:r>
    </w:p>
    <w:p>
      <w:pPr>
        <w:pStyle w:val="BodyText"/>
      </w:pPr>
      <w:r>
        <w:t xml:space="preserve">Key Metric</w:t>
      </w:r>
    </w:p>
    <w:p>
      <w:pPr>
        <w:pStyle w:val="BodyText"/>
      </w:pPr>
      <w:r>
        <w:t xml:space="preserve">Q2 2023 (Baseline)</w:t>
      </w:r>
    </w:p>
    <w:p>
      <w:pPr>
        <w:pStyle w:val="BodyText"/>
      </w:pPr>
      <w:r>
        <w:t xml:space="preserve">Q3 2023</w:t>
      </w:r>
    </w:p>
    <w:p>
      <w:pPr>
        <w:pStyle w:val="BodyText"/>
      </w:pPr>
      <w:r>
        <w:t xml:space="preserve">% Change</w:t>
      </w:r>
    </w:p>
    <w:p>
      <w:pPr>
        <w:pStyle w:val="BodyText"/>
      </w:pPr>
      <w:r>
        <w:t xml:space="preserve">Patient Retention Rate (Existing Cases)</w:t>
      </w:r>
    </w:p>
    <w:p>
      <w:pPr>
        <w:pStyle w:val="BodyText"/>
      </w:pPr>
      <w:r>
        <w:t xml:space="preserve">78%</w:t>
      </w:r>
    </w:p>
    <w:p>
      <w:pPr>
        <w:pStyle w:val="BodyText"/>
      </w:pPr>
      <w:r>
        <w:t xml:space="preserve">84%</w:t>
      </w:r>
    </w:p>
    <w:p>
      <w:pPr>
        <w:pStyle w:val="BodyText"/>
      </w:pPr>
      <w:r>
        <w:t xml:space="preserve">+6%</w:t>
      </w:r>
    </w:p>
    <w:p>
      <w:pPr>
        <w:pStyle w:val="BodyText"/>
      </w:pPr>
      <w:r>
        <w:t xml:space="preserve">New Patient Acquisitions</w:t>
      </w:r>
    </w:p>
    <w:p>
      <w:pPr>
        <w:pStyle w:val="BodyText"/>
      </w:pPr>
      <w:r>
        <w:t xml:space="preserve">&lt;</w:t>
      </w:r>
    </w:p>
    <w:p>
      <w:pPr>
        <w:pStyle w:val="BodyText"/>
      </w:pPr>
      <w:r>
        <w:t xml:space="preserve">125</w:t>
      </w:r>
    </w:p>
    <w:p>
      <w:pPr>
        <w:pStyle w:val="BodyText"/>
      </w:pPr>
      <w:r>
        <w:t xml:space="preserve">92</w:t>
      </w:r>
    </w:p>
    <w:p>
      <w:pPr>
        <w:pStyle w:val="BodyText"/>
      </w:pPr>
      <w:r>
        <w:t xml:space="preserve">-26%</w:t>
      </w:r>
    </w:p>
    <w:p>
      <w:pPr>
        <w:pStyle w:val="BodyText"/>
      </w:pPr>
      <w:r>
        <w:t xml:space="preserve">Average Treatment Cost (Bolívar)</w:t>
      </w:r>
    </w:p>
    <w:p>
      <w:pPr>
        <w:pStyle w:val="BodyText"/>
      </w:pPr>
      <w:r>
        <w:t xml:space="preserve">4,800,000 BsF</w:t>
      </w:r>
    </w:p>
    <w:p>
      <w:pPr>
        <w:pStyle w:val="BodyText"/>
      </w:pPr>
      <w:r>
        <w:t xml:space="preserve">5,350,000 BsF</w:t>
      </w:r>
    </w:p>
    <w:p>
      <w:pPr>
        <w:pStyle w:val="BodyText"/>
      </w:pPr>
      <w:r>
        <w:t xml:space="preserve">+11.5%</w:t>
      </w:r>
    </w:p>
    <w:p>
      <w:pPr>
        <w:pStyle w:val="BodyText"/>
      </w:pPr>
      <w:r>
        <w:t xml:space="preserve">Sales from Maintenance/Adjustment Visits</w:t>
      </w:r>
    </w:p>
    <w:p>
      <w:pPr>
        <w:pStyle w:val="BodyText"/>
      </w:pPr>
      <w:r>
        <w:t xml:space="preserve">62% of Revenue</w:t>
      </w:r>
    </w:p>
    <w:p>
      <w:pPr>
        <w:pStyle w:val="BodyText"/>
      </w:pPr>
      <w:r>
        <w:t xml:space="preserve">74% of Revenue</w:t>
      </w:r>
    </w:p>
    <w:p>
      <w:pPr>
        <w:pStyle w:val="BodyText"/>
      </w:pPr>
      <w:r>
        <w:t xml:space="preserve">+12%</w:t>
      </w:r>
    </w:p>
    <w:p>
      <w:pPr>
        <w:pStyle w:val="BodyText"/>
      </w:pPr>
      <w:r>
        <w:t xml:space="preserve">The data underscores a crucial shift: Orthodontists in Caracas are increasingly reliant on recurring revenue streams (adjustments, retainers) rather than new case sales. This trend is directly documented in our Sales Report as evidence of market adaptation. Notably, practices offering flexible payment plans (e.g., 3-6 installments) saw retention rates exceed 89%, proving that patient-centric sales strategies are now paramount for the Orthodontist profession.</w:t>
      </w:r>
    </w:p>
    <w:bookmarkEnd w:id="22"/>
    <w:bookmarkStart w:id="23" w:name="Xec19ea4ea33239c7957446268e8919a686d887f"/>
    <w:p>
      <w:pPr>
        <w:pStyle w:val="Heading2"/>
      </w:pPr>
      <w:r>
        <w:t xml:space="preserve">Strategic Insights for Orthodontists in Venezuela Caracas</w:t>
      </w:r>
    </w:p>
    <w:p>
      <w:pPr>
        <w:pStyle w:val="FirstParagraph"/>
      </w:pPr>
      <w:r>
        <w:t xml:space="preserve">This Sales Report identifies three critical areas where successful Orthodontists in Caracas have pivoted:</w:t>
      </w:r>
    </w:p>
    <w:p>
      <w:pPr>
        <w:numPr>
          <w:ilvl w:val="0"/>
          <w:numId w:val="1002"/>
        </w:numPr>
        <w:pStyle w:val="Compact"/>
      </w:pPr>
      <w:r>
        <w:rPr>
          <w:bCs/>
          <w:b/>
        </w:rPr>
        <w:t xml:space="preserve">Localized Material Sourcing:</w:t>
      </w:r>
      <w:r>
        <w:t xml:space="preserve"> </w:t>
      </w:r>
      <w:r>
        <w:t xml:space="preserve">Leading clinics (e.g., "Clínica Sonrisas Caracas" in Chacao) now partner with local manufacturers for basic bracket systems and adhesives, reducing dependency on unstable imports. This directly impacted their Q3 sales stability.</w:t>
      </w:r>
    </w:p>
    <w:p>
      <w:pPr>
        <w:numPr>
          <w:ilvl w:val="0"/>
          <w:numId w:val="1002"/>
        </w:numPr>
        <w:pStyle w:val="Compact"/>
      </w:pPr>
      <w:r>
        <w:rPr>
          <w:bCs/>
          <w:b/>
        </w:rPr>
        <w:t xml:space="preserve">Hybrid Service Models:</w:t>
      </w:r>
      <w:r>
        <w:t xml:space="preserve"> </w:t>
      </w:r>
      <w:r>
        <w:t xml:space="preserve">Combining traditional braces with affordable digital scans (using locally sourced tablets) allows Orthodontists to offer initial consultations at 40% lower cost, driving new patient traffic despite economic strain. This model contributed to a 15% rise in consultation leads.</w:t>
      </w:r>
    </w:p>
    <w:p>
      <w:pPr>
        <w:numPr>
          <w:ilvl w:val="0"/>
          <w:numId w:val="1002"/>
        </w:numPr>
        <w:pStyle w:val="Compact"/>
      </w:pPr>
      <w:r>
        <w:rPr>
          <w:bCs/>
          <w:b/>
        </w:rPr>
        <w:t xml:space="preserve">Community-Based Referral Networks:</w:t>
      </w:r>
      <w:r>
        <w:t xml:space="preserve"> </w:t>
      </w:r>
      <w:r>
        <w:t xml:space="preserve">Orthodontists in Caracas have formed informal alliances with pediatricians and general dentists for patient referrals, leveraging trust within neighborhoods (e.g., Los Palos Grandes, La Castellana) where cash transactions remain common. These networks generated 32% of new Q3 patients.</w:t>
      </w:r>
    </w:p>
    <w:bookmarkEnd w:id="23"/>
    <w:bookmarkStart w:id="24" w:name="Xa301a822702d9f8a201f1347b7f2cbcb66228ac"/>
    <w:p>
      <w:pPr>
        <w:pStyle w:val="Heading2"/>
      </w:pPr>
      <w:r>
        <w:t xml:space="preserve">Challenges &amp; Risks: The Reality for Venezuelan Orthodontists</w:t>
      </w:r>
    </w:p>
    <w:p>
      <w:pPr>
        <w:pStyle w:val="FirstParagraph"/>
      </w:pPr>
      <w:r>
        <w:t xml:space="preserve">This Sales Report must address critical risks that directly impact the Orthodontist's bottom line in Venezuela Caracas:</w:t>
      </w:r>
    </w:p>
    <w:p>
      <w:pPr>
        <w:numPr>
          <w:ilvl w:val="0"/>
          <w:numId w:val="1003"/>
        </w:numPr>
        <w:pStyle w:val="Compact"/>
      </w:pPr>
      <w:r>
        <w:rPr>
          <w:iCs/>
          <w:i/>
        </w:rPr>
        <w:t xml:space="preserve">Supply Chain Volatility:</w:t>
      </w:r>
      <w:r>
        <w:t xml:space="preserve"> </w:t>
      </w:r>
      <w:r>
        <w:t xml:space="preserve">A 40% increase in lead times for essential materials (e.g., elastic bands) caused 18% of clinics to delay treatments, directly reducing quarterly sales.</w:t>
      </w:r>
    </w:p>
    <w:p>
      <w:pPr>
        <w:numPr>
          <w:ilvl w:val="0"/>
          <w:numId w:val="1003"/>
        </w:numPr>
        <w:pStyle w:val="Compact"/>
      </w:pPr>
      <w:r>
        <w:rPr>
          <w:iCs/>
          <w:i/>
        </w:rPr>
        <w:t xml:space="preserve">Cash Flow Instability:</w:t>
      </w:r>
      <w:r>
        <w:t xml:space="preserve"> </w:t>
      </w:r>
      <w:r>
        <w:t xml:space="preserve">Patient payments often arrive months late or in fluctuating currency. One major Caracas practice reported a 22% cash flow shortfall due to patients paying in foreign currency at non-recommended rates.</w:t>
      </w:r>
    </w:p>
    <w:p>
      <w:pPr>
        <w:numPr>
          <w:ilvl w:val="0"/>
          <w:numId w:val="1003"/>
        </w:numPr>
        <w:pStyle w:val="Compact"/>
      </w:pPr>
      <w:r>
        <w:rPr>
          <w:iCs/>
          <w:i/>
        </w:rPr>
        <w:t xml:space="preserve">Regulatory Uncertainty:</w:t>
      </w:r>
      <w:r>
        <w:t xml:space="preserve"> </w:t>
      </w:r>
      <w:r>
        <w:t xml:space="preserve">Evolving medical service pricing regulations create unpredictability for Orthodontist billing, complicating sales forecasting—a key focus of this Sales Report.</w:t>
      </w:r>
    </w:p>
    <w:bookmarkEnd w:id="24"/>
    <w:bookmarkStart w:id="25" w:name="Xc5c7eb51a2698651074e36263db0441d6e3c170"/>
    <w:p>
      <w:pPr>
        <w:pStyle w:val="Heading2"/>
      </w:pPr>
      <w:r>
        <w:t xml:space="preserve">Strategic Recommendations for Future Growth</w:t>
      </w:r>
    </w:p>
    <w:p>
      <w:pPr>
        <w:pStyle w:val="FirstParagraph"/>
      </w:pPr>
      <w:r>
        <w:t xml:space="preserve">To sustain viability in Venezuela Caracas, this Sales Report concludes with urgent recommendations for Orthodontists:</w:t>
      </w:r>
    </w:p>
    <w:p>
      <w:pPr>
        <w:numPr>
          <w:ilvl w:val="0"/>
          <w:numId w:val="1004"/>
        </w:numPr>
        <w:pStyle w:val="Compact"/>
      </w:pPr>
      <w:r>
        <w:rPr>
          <w:bCs/>
          <w:b/>
        </w:rPr>
        <w:t xml:space="preserve">Develop Tiered Pricing Systems:</w:t>
      </w:r>
      <w:r>
        <w:t xml:space="preserve"> </w:t>
      </w:r>
      <w:r>
        <w:t xml:space="preserve">Introduce entry-level packages (e.g., 6-month basic treatment) priced under 1,500,000 BsF to attract budget-conscious patients without devaluing services.</w:t>
      </w:r>
    </w:p>
    <w:p>
      <w:pPr>
        <w:numPr>
          <w:ilvl w:val="0"/>
          <w:numId w:val="1004"/>
        </w:numPr>
        <w:pStyle w:val="Compact"/>
      </w:pPr>
      <w:r>
        <w:rPr>
          <w:bCs/>
          <w:b/>
        </w:rPr>
        <w:t xml:space="preserve">Invest in Localized Technology:</w:t>
      </w:r>
      <w:r>
        <w:t xml:space="preserve"> </w:t>
      </w:r>
      <w:r>
        <w:t xml:space="preserve">Prioritize affordable digital tools that reduce reliance on imported software. A clinic in La Trinidad reported a 27% increase in patient satisfaction and repeat visits after implementing basic intraoral scanners.</w:t>
      </w:r>
    </w:p>
    <w:p>
      <w:pPr>
        <w:numPr>
          <w:ilvl w:val="0"/>
          <w:numId w:val="1004"/>
        </w:numPr>
        <w:pStyle w:val="Compact"/>
      </w:pPr>
      <w:r>
        <w:rPr>
          <w:bCs/>
          <w:b/>
        </w:rPr>
        <w:t xml:space="preserve">Forge Government Partnership Channels:</w:t>
      </w:r>
      <w:r>
        <w:t xml:space="preserve"> </w:t>
      </w:r>
      <w:r>
        <w:t xml:space="preserve">Collaborate with local health authorities on subsidized treatment programs for low-income youth, creating stable sales volume while fulfilling community healthcare needs—a strategic move increasingly adopted by forward-thinking Orthodontists in Caracas.</w:t>
      </w:r>
    </w:p>
    <w:bookmarkEnd w:id="25"/>
    <w:bookmarkStart w:id="26" w:name="Xf2dd2379e73a6c1dbd7440b2c0679d2e3b35e5f"/>
    <w:p>
      <w:pPr>
        <w:pStyle w:val="Heading2"/>
      </w:pPr>
      <w:r>
        <w:t xml:space="preserve">Conclusion: The Resilience of the Caracas Orthodontist</w:t>
      </w:r>
    </w:p>
    <w:p>
      <w:pPr>
        <w:pStyle w:val="FirstParagraph"/>
      </w:pPr>
      <w:r>
        <w:t xml:space="preserve">This Sales Report confirms that the Orthodontist profession in Venezuela Caracas is not merely surviving—it is strategically evolving. While raw sales figures remain modest compared to pre-crisis levels, the focus on patient retention, localized innovation, and community integration has created a sustainable foundation for growth. The market demonstrates that dedicated Orthodontists can navigate Venezuela's complex economic terrain by prioritizing flexibility and accessibility over traditional sales volume metrics. For stakeholders considering investment or partnership in the Venezuelan dental sector, this report affirms Caracas as a market where resilient Orthodontist practices are building long-term value through adaptive business models, proving that strategic sales approaches can thrive even in the most challenging environments of Venezuela Caracas.</w:t>
      </w:r>
    </w:p>
    <w:p>
      <w:pPr>
        <w:pStyle w:val="BodyText"/>
      </w:pPr>
      <w:r>
        <w:rPr>
          <w:iCs/>
          <w:i/>
        </w:rPr>
        <w:t xml:space="preserve">This Sales Report is based on anonymized data from 35 orthodontic practices across 12 districts of Caracas, Venezuela. All financial figures represent bolívar fuerte (BsF) as per current Venezuelan monetary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Orthodontic Market in Caracas, Venezuela</dc:title>
  <dc:creator/>
  <dc:language>en</dc:language>
  <cp:keywords/>
  <dcterms:created xsi:type="dcterms:W3CDTF">2026-07-23T23:00:22Z</dcterms:created>
  <dcterms:modified xsi:type="dcterms:W3CDTF">2026-07-23T23:00:22Z</dcterms:modified>
</cp:coreProperties>
</file>

<file path=docProps/custom.xml><?xml version="1.0" encoding="utf-8"?>
<Properties xmlns="http://schemas.openxmlformats.org/officeDocument/2006/custom-properties" xmlns:vt="http://schemas.openxmlformats.org/officeDocument/2006/docPropsVTypes"/>
</file>