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27" w:name="X7818f42d8af605feb425f1a48ca1e3872ec2e5c"/>
    <w:p>
      <w:pPr>
        <w:pStyle w:val="Heading1"/>
      </w:pPr>
      <w:r>
        <w:t xml:space="preserve">PARAMEDIC SERVICES SALES REPORT: GROWTH AND STRATEGIC OUTLOOK FOR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Emergency Medical Services Board &amp; Guangzhou Municipal Health Authority</w:t>
      </w:r>
      <w:r>
        <w:br/>
      </w:r>
      <w:r>
        <w:rPr>
          <w:bCs/>
          <w:b/>
        </w:rPr>
        <w:t xml:space="preserve">Prepared By:</w:t>
      </w:r>
      <w:r>
        <w:t xml:space="preserve"> </w:t>
      </w:r>
      <w:r>
        <w:t xml:space="preserve">Strategic Healthcare Solutions Division</w:t>
      </w:r>
    </w:p>
    <w:bookmarkStart w:id="20" w:name="i.-executive-summary"/>
    <w:p>
      <w:pPr>
        <w:pStyle w:val="Heading2"/>
      </w:pPr>
      <w:r>
        <w:t xml:space="preserve">I. Executive Summary</w:t>
      </w:r>
    </w:p>
    <w:p>
      <w:pPr>
        <w:pStyle w:val="FirstParagraph"/>
      </w:pPr>
      <w:r>
        <w:t xml:space="preserve">This Sales Report provides a comprehensive analysis of Paramedic service adoption, utilization metrics, and market growth trajectory within China Guangzhou. The data reveals an unprecedented 34% year-over-year increase in Paramedic service engagements across municipal emergency response systems, driven by urbanization pressures and government healthcare initiatives. Guangzhou's strategic position as the economic hub of Southern China makes it a critical market for scalable Paramedic service models, with immediate revenue opportunities totaling ¥187 million in the fiscal year 2023-2024.</w:t>
      </w:r>
    </w:p>
    <w:bookmarkEnd w:id="20"/>
    <w:bookmarkStart w:id="21" w:name="Xe047633bd68a3c51de16ecb81cf08648da6360f"/>
    <w:p>
      <w:pPr>
        <w:pStyle w:val="Heading2"/>
      </w:pPr>
      <w:r>
        <w:t xml:space="preserve">II. Market Context: Why Guangzhou Demands Advanced Paramedic Services</w:t>
      </w:r>
    </w:p>
    <w:p>
      <w:pPr>
        <w:pStyle w:val="FirstParagraph"/>
      </w:pPr>
      <w:r>
        <w:t xml:space="preserve">Guangzhou's population of 15.8 million residents, coupled with its status as China's third-largest city and a global manufacturing epicenter, generates exceptional demand for professional Paramedic deployment. The Pearl River Delta economic zone experiences an average of 437 traffic collisions daily (National Traffic Safety Bureau, 2023), creating urgent need for mobile emergency medical teams. This Sales Report confirms that Guangzhou's municipal health authority has prioritized Paramedic service expansion under the "Healthy Guangdong 2030" initiative, allocating ¥58 million specifically for advanced EMS infrastructure.</w:t>
      </w:r>
    </w:p>
    <w:bookmarkEnd w:id="21"/>
    <w:bookmarkStart w:id="22" w:name="X1323abde01c7082ad7c3441811cb83d6d94e283"/>
    <w:p>
      <w:pPr>
        <w:pStyle w:val="Heading2"/>
      </w:pPr>
      <w:r>
        <w:t xml:space="preserve">III. Paramedic Service Performance Metrics (Guangzhou,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Paramedic Response Units Deployed (Citywide)</w:t>
            </w:r>
          </w:p>
        </w:tc>
        <w:tc>
          <w:tcPr/>
          <w:p>
            <w:pPr>
              <w:pStyle w:val="Compact"/>
              <w:jc w:val="left"/>
            </w:pPr>
            <w:r>
              <w:t xml:space="preserve">48 units</w:t>
            </w:r>
          </w:p>
        </w:tc>
        <w:tc>
          <w:tcPr/>
          <w:p>
            <w:pPr>
              <w:pStyle w:val="Compact"/>
              <w:jc w:val="left"/>
            </w:pPr>
            <w:r>
              <w:t xml:space="preserve">65 units</w:t>
            </w:r>
          </w:p>
        </w:tc>
        <w:tc>
          <w:tcPr/>
          <w:p>
            <w:pPr>
              <w:pStyle w:val="Compact"/>
              <w:jc w:val="left"/>
            </w:pPr>
            <w:r>
              <w:t xml:space="preserve">+35.4%</w:t>
            </w:r>
          </w:p>
        </w:tc>
      </w:tr>
      <w:tr>
        <w:tc>
          <w:tcPr/>
          <w:p>
            <w:pPr>
              <w:pStyle w:val="Compact"/>
              <w:jc w:val="left"/>
            </w:pPr>
            <w:r>
              <w:t xml:space="preserve">Average Response Time (Minutes)</w:t>
            </w:r>
          </w:p>
        </w:tc>
        <w:tc>
          <w:tcPr/>
          <w:p>
            <w:pPr>
              <w:pStyle w:val="Compact"/>
              <w:jc w:val="left"/>
            </w:pPr>
            <w:r>
              <w:t xml:space="preserve">12.7</w:t>
            </w:r>
          </w:p>
        </w:tc>
        <w:tc>
          <w:tcPr>
            <w:gridSpan w:val="2"/>
          </w:tcPr>
          <w:p>
            <w:pPr>
              <w:pStyle w:val="Compact"/>
              <w:jc w:val="left"/>
            </w:pPr>
            <w:r>
              <w:t xml:space="preserve">10.1 (↓ 20.5%)</w:t>
            </w:r>
          </w:p>
        </w:tc>
      </w:tr>
      <w:tr>
        <w:tc>
          <w:tcPr/>
          <w:p>
            <w:pPr>
              <w:pStyle w:val="Compact"/>
              <w:jc w:val="left"/>
            </w:pPr>
            <w:r>
              <w:t xml:space="preserve">Emergency Calls Handled</w:t>
            </w:r>
          </w:p>
        </w:tc>
        <w:tc>
          <w:tcPr/>
          <w:p>
            <w:pPr>
              <w:pStyle w:val="Compact"/>
              <w:jc w:val="left"/>
            </w:pPr>
            <w:r>
              <w:t xml:space="preserve">8,942</w:t>
            </w:r>
          </w:p>
        </w:tc>
        <w:tc>
          <w:tcPr/>
          <w:p>
            <w:pPr>
              <w:pStyle w:val="Compact"/>
              <w:jc w:val="left"/>
            </w:pPr>
            <w:r>
              <w:t xml:space="preserve">14,673</w:t>
            </w:r>
          </w:p>
        </w:tc>
        <w:tc>
          <w:tcPr/>
          <w:p>
            <w:pPr>
              <w:pStyle w:val="Compact"/>
              <w:jc w:val="left"/>
            </w:pPr>
            <w:r>
              <w:t xml:space="preserve">+63.9%</w:t>
            </w:r>
          </w:p>
        </w:tc>
      </w:tr>
      <w:tr>
        <w:tc>
          <w:tcPr/>
          <w:p>
            <w:pPr>
              <w:pStyle w:val="Compact"/>
              <w:jc w:val="left"/>
            </w:pPr>
            <w:r>
              <w:t xml:space="preserve">Patient Survival Rate (Cardiac Arrest)</w:t>
            </w:r>
          </w:p>
        </w:tc>
        <w:tc>
          <w:tcPr/>
          <w:p>
            <w:pPr>
              <w:pStyle w:val="Compact"/>
              <w:jc w:val="left"/>
            </w:pPr>
            <w:r>
              <w:t xml:space="preserve">52.1%</w:t>
            </w:r>
          </w:p>
        </w:tc>
        <w:tc>
          <w:tcPr>
            <w:gridSpan w:val="2"/>
          </w:tcPr>
          <w:p>
            <w:pPr>
              <w:pStyle w:val="Compact"/>
              <w:jc w:val="left"/>
            </w:pPr>
            <w:r>
              <w:t xml:space="preserve">67.8% (↑ 29.4%)</w:t>
            </w:r>
          </w:p>
        </w:tc>
      </w:tr>
      <w:tr>
        <w:tc>
          <w:tcPr/>
          <w:p>
            <w:pPr>
              <w:pStyle w:val="Compact"/>
              <w:jc w:val="left"/>
            </w:pPr>
            <w:r>
              <w:t xml:space="preserve">Revenue Generated from Paramedic Services</w:t>
            </w:r>
          </w:p>
        </w:tc>
        <w:tc>
          <w:tcPr/>
          <w:p>
            <w:pPr>
              <w:pStyle w:val="Compact"/>
              <w:jc w:val="left"/>
            </w:pPr>
            <w:r>
              <w:t xml:space="preserve">¥38.6M</w:t>
            </w:r>
          </w:p>
        </w:tc>
        <w:tc>
          <w:tcPr/>
          <w:p>
            <w:pPr>
              <w:pStyle w:val="Compact"/>
              <w:jc w:val="left"/>
            </w:pPr>
            <w:r>
              <w:t xml:space="preserve">¥65.3M</w:t>
            </w:r>
          </w:p>
        </w:tc>
        <w:tc>
          <w:tcPr/>
          <w:p>
            <w:pPr>
              <w:pStyle w:val="Compact"/>
              <w:jc w:val="left"/>
            </w:pPr>
            <w:r>
              <w:t xml:space="preserve">+70.7%</w:t>
            </w:r>
          </w:p>
        </w:tc>
      </w:tr>
    </w:tbl>
    <w:p>
      <w:pPr>
        <w:pStyle w:val="BodyText"/>
      </w:pPr>
      <w:r>
        <w:t xml:space="preserve">The data demonstrates a direct correlation between increased Paramedic service deployment and measurable health outcomes in Guangzhou. The 29% improvement in cardiac survival rates (from 52.1% to 67.8%) validates the clinical efficacy of our Paramedic protocols, directly translating to enhanced public trust and expanded service adoption.</w:t>
      </w:r>
    </w:p>
    <w:bookmarkEnd w:id="22"/>
    <w:bookmarkStart w:id="23" w:name="Xb278ed9e09293b01a6dc158a744b62807888d52"/>
    <w:p>
      <w:pPr>
        <w:pStyle w:val="Heading2"/>
      </w:pPr>
      <w:r>
        <w:t xml:space="preserve">IV. Key Growth Drivers for Paramedic Services in China Guangzhou</w:t>
      </w:r>
    </w:p>
    <w:p>
      <w:pPr>
        <w:pStyle w:val="FirstParagraph"/>
      </w:pPr>
      <w:r>
        <w:rPr>
          <w:bCs/>
          <w:b/>
        </w:rPr>
        <w:t xml:space="preserve">1. Government Policy Acceleration:</w:t>
      </w:r>
      <w:r>
        <w:t xml:space="preserve"> </w:t>
      </w:r>
      <w:r>
        <w:t xml:space="preserve">The Guangzhou Municipal Health Commission's 2023 "Advanced EMS Framework" mandates that all emergency services must include certified Paramedics within 15 minutes of call receipt. This regulation has triggered a 78% surge in municipal contracts for Paramedic staffing.</w:t>
      </w:r>
    </w:p>
    <w:p>
      <w:pPr>
        <w:pStyle w:val="BodyText"/>
      </w:pPr>
      <w:r>
        <w:rPr>
          <w:bCs/>
          <w:b/>
        </w:rPr>
        <w:t xml:space="preserve">2. Public Awareness Campaigns:</w:t>
      </w:r>
      <w:r>
        <w:t xml:space="preserve"> </w:t>
      </w:r>
      <w:r>
        <w:t xml:space="preserve">Collaborative initiatives between Guangzhou Emergency Services and local media (e.g., "Call 120, Get Paramedics Now" TV campaign) increased public knowledge of Paramedic capabilities by 61%, directly boosting service utilization.</w:t>
      </w:r>
    </w:p>
    <w:p>
      <w:pPr>
        <w:pStyle w:val="BodyText"/>
      </w:pPr>
      <w:r>
        <w:rPr>
          <w:bCs/>
          <w:b/>
        </w:rPr>
        <w:t xml:space="preserve">3. Urban Expansion Pressures:</w:t>
      </w:r>
      <w:r>
        <w:t xml:space="preserve"> </w:t>
      </w:r>
      <w:r>
        <w:t xml:space="preserve">With Guangzhou's urban footprint expanding at 4.2% annually (Guangdong Statistics Bureau), new residential districts and industrial parks require immediate Paramedic coverage, creating 92 new service zones in 2023 alone.</w:t>
      </w:r>
    </w:p>
    <w:p>
      <w:pPr>
        <w:pStyle w:val="BodyText"/>
      </w:pPr>
      <w:r>
        <w:rPr>
          <w:bCs/>
          <w:b/>
        </w:rPr>
        <w:t xml:space="preserve">4. Hospital Integration:</w:t>
      </w:r>
      <w:r>
        <w:t xml:space="preserve"> </w:t>
      </w:r>
      <w:r>
        <w:t xml:space="preserve">Strategic partnerships with Guangzhou First People's Hospital and Nanfang Hospital have established Paramedic-led "mobile triage units," increasing patient handoff efficiency by 37% and reducing ambulance turnaround times significantly.</w:t>
      </w:r>
    </w:p>
    <w:bookmarkEnd w:id="23"/>
    <w:bookmarkStart w:id="24" w:name="X4b3b7c067d8f2cdb792c1395fac0e218cbb3a59"/>
    <w:p>
      <w:pPr>
        <w:pStyle w:val="Heading2"/>
      </w:pPr>
      <w:r>
        <w:t xml:space="preserve">V. Competitive Landscape &amp; Market Positioning</w:t>
      </w:r>
    </w:p>
    <w:p>
      <w:pPr>
        <w:pStyle w:val="FirstParagraph"/>
      </w:pPr>
      <w:r>
        <w:t xml:space="preserve">In the China Guangzhou market, our Paramedic service division maintains a 41% market share – the highest among all providers – due to three strategic advantages:</w:t>
      </w:r>
    </w:p>
    <w:p>
      <w:pPr>
        <w:numPr>
          <w:ilvl w:val="0"/>
          <w:numId w:val="1001"/>
        </w:numPr>
        <w:pStyle w:val="Compact"/>
      </w:pPr>
      <w:r>
        <w:rPr>
          <w:bCs/>
          <w:b/>
        </w:rPr>
        <w:t xml:space="preserve">Localized Training:</w:t>
      </w:r>
      <w:r>
        <w:t xml:space="preserve"> </w:t>
      </w:r>
      <w:r>
        <w:t xml:space="preserve">Our Guangzhou-based Paramedic Academy (accredited by NHC China) trains 300+ professionals annually, ensuring cultural and language alignment with local communities.</w:t>
      </w:r>
    </w:p>
    <w:p>
      <w:pPr>
        <w:numPr>
          <w:ilvl w:val="0"/>
          <w:numId w:val="1001"/>
        </w:numPr>
        <w:pStyle w:val="Compact"/>
      </w:pPr>
      <w:r>
        <w:rPr>
          <w:bCs/>
          <w:b/>
        </w:rPr>
        <w:t xml:space="preserve">Technology Integration:</w:t>
      </w:r>
      <w:r>
        <w:t xml:space="preserve"> </w:t>
      </w:r>
      <w:r>
        <w:t xml:space="preserve">Real-time GPS tracking of Paramedic units through Guangzhou's Smart City Platform enables 25% faster resource allocation versus competitors.</w:t>
      </w:r>
    </w:p>
    <w:p>
      <w:pPr>
        <w:numPr>
          <w:ilvl w:val="0"/>
          <w:numId w:val="1001"/>
        </w:numPr>
        <w:pStyle w:val="Compact"/>
      </w:pPr>
      <w:r>
        <w:rPr>
          <w:bCs/>
          <w:b/>
        </w:rPr>
        <w:t xml:space="preserve">Cost Efficiency:</w:t>
      </w:r>
      <w:r>
        <w:t xml:space="preserve"> </w:t>
      </w:r>
      <w:r>
        <w:t xml:space="preserve">Our tiered service model (basic, advanced, critical care) offers 18% lower per-unit costs than municipal benchmarks, making Paramedic services financially sustainable for Guangzhou's public health budget.</w:t>
      </w:r>
    </w:p>
    <w:bookmarkEnd w:id="24"/>
    <w:bookmarkStart w:id="25" w:name="X5b4a3c39a1f93e5982e9253d7042181c7e3170f"/>
    <w:p>
      <w:pPr>
        <w:pStyle w:val="Heading2"/>
      </w:pPr>
      <w:r>
        <w:t xml:space="preserve">VI. Strategic Recommendations for Future Sales Growth</w:t>
      </w:r>
    </w:p>
    <w:p>
      <w:pPr>
        <w:pStyle w:val="FirstParagraph"/>
      </w:pPr>
      <w:r>
        <w:t xml:space="preserve">This Sales Report identifies three high-impact opportunities to scale Paramedic services in China Guangzhou:</w:t>
      </w:r>
    </w:p>
    <w:p>
      <w:pPr>
        <w:numPr>
          <w:ilvl w:val="0"/>
          <w:numId w:val="1002"/>
        </w:numPr>
        <w:pStyle w:val="Compact"/>
      </w:pPr>
      <w:r>
        <w:rPr>
          <w:bCs/>
          <w:b/>
        </w:rPr>
        <w:t xml:space="preserve">Expand into Industrial Zones:</w:t>
      </w:r>
      <w:r>
        <w:t xml:space="preserve"> </w:t>
      </w:r>
      <w:r>
        <w:t xml:space="preserve">Target 15 new manufacturing complexes in Nansha and Huangpu districts by Q2 2024, where occupational injuries represent 38% of emergency calls.</w:t>
      </w:r>
    </w:p>
    <w:p>
      <w:pPr>
        <w:numPr>
          <w:ilvl w:val="0"/>
          <w:numId w:val="1002"/>
        </w:numPr>
        <w:pStyle w:val="Compact"/>
      </w:pPr>
      <w:r>
        <w:rPr>
          <w:bCs/>
          <w:b/>
        </w:rPr>
        <w:t xml:space="preserve">Pilot Tele-Paramedic Support:</w:t>
      </w:r>
      <w:r>
        <w:t xml:space="preserve"> </w:t>
      </w:r>
      <w:r>
        <w:t xml:space="preserve">Deploy AI-assisted mobile apps (in Mandarin) for remote Paramedic guidance during non-critical incidents, projected to increase service capacity by 15% without additional staffing costs.</w:t>
      </w:r>
    </w:p>
    <w:p>
      <w:pPr>
        <w:numPr>
          <w:ilvl w:val="0"/>
          <w:numId w:val="1002"/>
        </w:numPr>
        <w:pStyle w:val="Compact"/>
      </w:pPr>
      <w:r>
        <w:rPr>
          <w:bCs/>
          <w:b/>
        </w:rPr>
        <w:t xml:space="preserve">Corporate Wellness Partnerships:</w:t>
      </w:r>
      <w:r>
        <w:t xml:space="preserve"> </w:t>
      </w:r>
      <w:r>
        <w:t xml:space="preserve">Secure contracts with Guangzhou's top 50 multinational firms for on-site Paramedic training and response teams – an untapped market segment with 24,000+ employees currently unprotected.</w:t>
      </w:r>
    </w:p>
    <w:bookmarkEnd w:id="25"/>
    <w:bookmarkStart w:id="26" w:name="Xa76bb5991342725257403e5f16a712295e799c5"/>
    <w:p>
      <w:pPr>
        <w:pStyle w:val="Heading2"/>
      </w:pPr>
      <w:r>
        <w:t xml:space="preserve">VII. Conclusion: The Indispensable Role of Paramedics in Guangzhou's Future</w:t>
      </w:r>
    </w:p>
    <w:p>
      <w:pPr>
        <w:pStyle w:val="FirstParagraph"/>
      </w:pPr>
      <w:r>
        <w:t xml:space="preserve">The evidence presented in this Sales Report confirms that Paramedic services are no longer a luxury but a critical infrastructure component for China Guangzhou's sustainable development. With the city's projected population growth to 18 million by 2030, strategic investment in Paramedic service expansion directly supports national health goals and economic resilience. Our current market share of 41% positions us as the preferred partner for Guangzhou Municipal Health Authority to meet rising demand – not through "sales" of a product, but through demonstrable value in saving lives and optimizing healthcare delivery.</w:t>
      </w:r>
    </w:p>
    <w:p>
      <w:pPr>
        <w:pStyle w:val="BodyText"/>
      </w:pPr>
      <w:r>
        <w:t xml:space="preserve">As Guangzhou continues its transformation into a global megacity, Paramedic services will evolve from emergency responders to proactive public health partners. This Sales Report recommends allocating 85% of our 2024 growth budget specifically toward Guangzhou's expanding urban corridors, where the return on investment in Paramedic deployment exceeds all other healthcare initiatives by a factor of 3.7x according to our latest ROI analysis.</w:t>
      </w:r>
    </w:p>
    <w:p>
      <w:pPr>
        <w:pStyle w:val="BodyText"/>
      </w:pPr>
      <w:r>
        <w:rPr>
          <w:iCs/>
          <w:i/>
        </w:rPr>
        <w:t xml:space="preserve">Prepared with data from Guangzhou Municipal Health Bureau, National Emergency Medical Services Database, and 2023 Guangdong Urban Development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Guangzhou Market Analysis</dc:title>
  <dc:creator/>
  <dc:language>en</dc:language>
  <cp:keywords/>
  <dcterms:created xsi:type="dcterms:W3CDTF">2025-12-11T17:25:28Z</dcterms:created>
  <dcterms:modified xsi:type="dcterms:W3CDTF">2025-12-11T17:25:28Z</dcterms:modified>
</cp:coreProperties>
</file>

<file path=docProps/custom.xml><?xml version="1.0" encoding="utf-8"?>
<Properties xmlns="http://schemas.openxmlformats.org/officeDocument/2006/custom-properties" xmlns:vt="http://schemas.openxmlformats.org/officeDocument/2006/docPropsVTypes"/>
</file>