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Service</w:t>
      </w:r>
      <w:r>
        <w:t xml:space="preserve"> </w:t>
      </w:r>
      <w:r>
        <w:t xml:space="preserve">Utilization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d9df189f401edea7fbdb1e3bb4435c5bfaf14f"/>
    <w:p>
      <w:pPr>
        <w:pStyle w:val="Heading1"/>
      </w:pPr>
      <w:r>
        <w:t xml:space="preserve">Sales Report: Paramedic Service Utilization and Strategic Growth in Tanzania Dar es Salaam</w:t>
      </w:r>
    </w:p>
    <w:p>
      <w:pPr>
        <w:pStyle w:val="FirstParagraph"/>
      </w:pPr>
      <w:r>
        <w:rPr>
          <w:bCs/>
          <w:b/>
        </w:rPr>
        <w:t xml:space="preserve">Prepared For:</w:t>
      </w:r>
      <w:r>
        <w:t xml:space="preserve"> </w:t>
      </w:r>
      <w:r>
        <w:t xml:space="preserve">Tanzanian Ministry of Health, Dar es Salaam Emergency Medical Services Directorate</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operational performance, service utilization metrics, and strategic growth trajectory of Paramedic teams within Tanzania Dar es Salaam's Emergency Medical Services (EMS) framework. Contrary to commercial product sales, this report analyzes the deployment effectiveness and community adoption rate of critical Paramedic services—a vital healthcare resource in one of Africa's fastest-growing urban centers. The data underscores a 37% increase in documented Paramedic service requests year-over-year, reflecting both rising public awareness and escalating urban health emergencies. With Dar es Salaam's population exceeding 6 million and severe traffic congestion complicating emergency response, optimizing Paramedic coverage is not merely a healthcare priority—it is an economic imperative for community stability.</w:t>
      </w:r>
    </w:p>
    <w:bookmarkEnd w:id="20"/>
    <w:bookmarkStart w:id="21" w:name="service-utilization-key-metrics"/>
    <w:p>
      <w:pPr>
        <w:pStyle w:val="Heading2"/>
      </w:pPr>
      <w:r>
        <w:t xml:space="preserve">Service Utilization &amp; Key Metrics</w:t>
      </w:r>
    </w:p>
    <w:p>
      <w:pPr>
        <w:pStyle w:val="FirstParagraph"/>
      </w:pPr>
      <w:r>
        <w:t xml:space="preserve">The Tanzania Dar es Salaam EMS network currently deploys 48 trained Paramedics across 16 operational ambulances. During the reporting period, these teams responded to 14,872 emergency calls—a significant jump from 10,856 in 2022. Critical metrics include:</w:t>
      </w:r>
    </w:p>
    <w:p>
      <w:pPr>
        <w:numPr>
          <w:ilvl w:val="0"/>
          <w:numId w:val="1001"/>
        </w:numPr>
        <w:pStyle w:val="Compact"/>
      </w:pPr>
      <w:r>
        <w:rPr>
          <w:bCs/>
          <w:b/>
        </w:rPr>
        <w:t xml:space="preserve">Response Time Reduction:</w:t>
      </w:r>
      <w:r>
        <w:t xml:space="preserve"> </w:t>
      </w:r>
      <w:r>
        <w:t xml:space="preserve">Average response time decreased from 43 minutes to 31 minutes through strategic station placement near high-risk zones (e.g., Kivukoni Ferry Terminal, Kinondoni Market). This aligns with WHO guidelines for urban emergency care.</w:t>
      </w:r>
    </w:p>
    <w:p>
      <w:pPr>
        <w:numPr>
          <w:ilvl w:val="0"/>
          <w:numId w:val="1001"/>
        </w:numPr>
        <w:pStyle w:val="Compact"/>
      </w:pPr>
      <w:r>
        <w:rPr>
          <w:bCs/>
          <w:b/>
        </w:rPr>
        <w:t xml:space="preserve">Service Adoption Rate:</w:t>
      </w:r>
      <w:r>
        <w:t xml:space="preserve"> </w:t>
      </w:r>
      <w:r>
        <w:t xml:space="preserve">Community engagement initiatives (SMS awareness campaigns, hospital partnerships) drove a 28% rise in public utilization of Paramedic services. The "Paramedic First Aid" mobile app saw 21,000 downloads in Dar es Salaam alone.</w:t>
      </w:r>
    </w:p>
    <w:p>
      <w:pPr>
        <w:numPr>
          <w:ilvl w:val="0"/>
          <w:numId w:val="1001"/>
        </w:numPr>
        <w:pStyle w:val="Compact"/>
      </w:pPr>
      <w:r>
        <w:rPr>
          <w:bCs/>
          <w:b/>
        </w:rPr>
        <w:t xml:space="preserve">Traffic-Related Incidents:</w:t>
      </w:r>
      <w:r>
        <w:t xml:space="preserve"> </w:t>
      </w:r>
      <w:r>
        <w:t xml:space="preserve">63% of emergencies involved road accidents—directly linked to Dar es Salaam's congested roads. Paramedic teams reduced fatality rates by 22% in these cases through on-scene stabilization.</w:t>
      </w:r>
    </w:p>
    <w:bookmarkEnd w:id="21"/>
    <w:bookmarkStart w:id="22" w:name="Xe19fd6501e124c415d4b0d18f25772dbe8474e9"/>
    <w:p>
      <w:pPr>
        <w:pStyle w:val="Heading2"/>
      </w:pPr>
      <w:r>
        <w:t xml:space="preserve">Strategic Sales Approach: Community-Centric Service Delivery</w:t>
      </w:r>
    </w:p>
    <w:p>
      <w:pPr>
        <w:pStyle w:val="FirstParagraph"/>
      </w:pPr>
      <w:r>
        <w:t xml:space="preserve">In Tanzania Dar es Salaam, "sales" of Paramedic services is redefined as community education and trust-building. Unlike conventional sales models, our approach focuses on:</w:t>
      </w:r>
    </w:p>
    <w:p>
      <w:pPr>
        <w:numPr>
          <w:ilvl w:val="0"/>
          <w:numId w:val="1002"/>
        </w:numPr>
        <w:pStyle w:val="Compact"/>
      </w:pPr>
      <w:r>
        <w:rPr>
          <w:bCs/>
          <w:b/>
        </w:rPr>
        <w:t xml:space="preserve">Public Health Partnerships:</w:t>
      </w:r>
      <w:r>
        <w:t xml:space="preserve"> </w:t>
      </w:r>
      <w:r>
        <w:t xml:space="preserve">Collaborating with local pharmacies (e.g., Bwawani Pharmacy Chain) to train staff in basic life support, creating referral pathways to Paramedic teams. This generated 1,245 new service referrals in Q3 2023.</w:t>
      </w:r>
    </w:p>
    <w:p>
      <w:pPr>
        <w:numPr>
          <w:ilvl w:val="0"/>
          <w:numId w:val="1002"/>
        </w:numPr>
        <w:pStyle w:val="Compact"/>
      </w:pPr>
      <w:r>
        <w:rPr>
          <w:bCs/>
          <w:b/>
        </w:rPr>
        <w:t xml:space="preserve">Cultural Integration:</w:t>
      </w:r>
      <w:r>
        <w:t xml:space="preserve"> </w:t>
      </w:r>
      <w:r>
        <w:t xml:space="preserve">Training Paramedics in Swahili dialects and local customs (e.g., involving community elders for trauma counseling) increased service acceptance by 34% in peri-urban areas like Mbagala.</w:t>
      </w:r>
    </w:p>
    <w:p>
      <w:pPr>
        <w:numPr>
          <w:ilvl w:val="0"/>
          <w:numId w:val="1002"/>
        </w:numPr>
        <w:pStyle w:val="Compact"/>
      </w:pPr>
      <w:r>
        <w:rPr>
          <w:bCs/>
          <w:b/>
        </w:rPr>
        <w:t xml:space="preserve">Sustainable Funding Models:</w:t>
      </w:r>
      <w:r>
        <w:t xml:space="preserve"> </w:t>
      </w:r>
      <w:r>
        <w:t xml:space="preserve">Introducing tiered "Paramedic Service Support" donations via mobile money (M-Pesa). Over 8,500 residents contributed, funding 12 new ambulance kits for high-demand districts.</w:t>
      </w:r>
    </w:p>
    <w:bookmarkEnd w:id="22"/>
    <w:bookmarkStart w:id="23" w:name="Xdabdc10f7291e83030870c46e636cfe4bec0487"/>
    <w:p>
      <w:pPr>
        <w:pStyle w:val="Heading2"/>
      </w:pPr>
      <w:r>
        <w:t xml:space="preserve">Challenges in Tanzania Dar es Salaam's Context</w:t>
      </w:r>
    </w:p>
    <w:p>
      <w:pPr>
        <w:pStyle w:val="FirstParagraph"/>
      </w:pPr>
      <w:r>
        <w:t xml:space="preserve">The market for emergency Paramedic services faces unique obstacles in Tanzania Dar es Salaam:</w:t>
      </w:r>
    </w:p>
    <w:p>
      <w:pPr>
        <w:numPr>
          <w:ilvl w:val="0"/>
          <w:numId w:val="1003"/>
        </w:numPr>
        <w:pStyle w:val="Compact"/>
      </w:pPr>
      <w:r>
        <w:rPr>
          <w:bCs/>
          <w:b/>
        </w:rPr>
        <w:t xml:space="preserve">Infrastructure Gaps:</w:t>
      </w:r>
      <w:r>
        <w:t xml:space="preserve"> </w:t>
      </w:r>
      <w:r>
        <w:t xml:space="preserve">68% of roads in central Dar es Salaam lack adequate ambulance access, delaying responses. The government's "Road to Safety" initiative (2023) addresses this but requires sustained investment.</w:t>
      </w:r>
    </w:p>
    <w:p>
      <w:pPr>
        <w:numPr>
          <w:ilvl w:val="0"/>
          <w:numId w:val="1003"/>
        </w:numPr>
        <w:pStyle w:val="Compact"/>
      </w:pPr>
      <w:r>
        <w:rPr>
          <w:bCs/>
          <w:b/>
        </w:rPr>
        <w:t xml:space="preserve">Funding Constraints:</w:t>
      </w:r>
      <w:r>
        <w:t xml:space="preserve"> </w:t>
      </w:r>
      <w:r>
        <w:t xml:space="preserve">Only 18% of EMS operational costs are covered by the national budget. Partnerships with NGOs like AMREF Health Africa and private sector (e.g., Vodacom Tanzania) offset critical gaps.</w:t>
      </w:r>
    </w:p>
    <w:p>
      <w:pPr>
        <w:numPr>
          <w:ilvl w:val="0"/>
          <w:numId w:val="1003"/>
        </w:numPr>
        <w:pStyle w:val="Compact"/>
      </w:pPr>
      <w:r>
        <w:rPr>
          <w:bCs/>
          <w:b/>
        </w:rPr>
        <w:t xml:space="preserve">Workforce Shortages:</w:t>
      </w:r>
      <w:r>
        <w:t xml:space="preserve"> </w:t>
      </w:r>
      <w:r>
        <w:t xml:space="preserve">Dar es Salaam needs 300+ additional Paramedics to meet WHO standards. Training partnerships with Muhimbili University of Health and Allied Sciences (MUHAS) are scaling up—but recruitment lags due to salary competitiveness versus private security firms.</w:t>
      </w:r>
    </w:p>
    <w:bookmarkEnd w:id="23"/>
    <w:bookmarkStart w:id="24" w:name="strategic-investment-opportunities"/>
    <w:p>
      <w:pPr>
        <w:pStyle w:val="Heading2"/>
      </w:pPr>
      <w:r>
        <w:t xml:space="preserve">Strategic Investment Opportunities</w:t>
      </w:r>
    </w:p>
    <w:p>
      <w:pPr>
        <w:pStyle w:val="FirstParagraph"/>
      </w:pPr>
      <w:r>
        <w:t xml:space="preserve">This Sales Report identifies high-impact opportunities for stakeholder investment in Tanzania Dar es Salaam:</w:t>
      </w:r>
    </w:p>
    <w:p>
      <w:pPr>
        <w:numPr>
          <w:ilvl w:val="0"/>
          <w:numId w:val="1004"/>
        </w:numPr>
        <w:pStyle w:val="Compact"/>
      </w:pPr>
      <w:r>
        <w:rPr>
          <w:bCs/>
          <w:b/>
        </w:rPr>
        <w:t xml:space="preserve">Technology Integration:</w:t>
      </w:r>
      <w:r>
        <w:t xml:space="preserve"> </w:t>
      </w:r>
      <w:r>
        <w:t xml:space="preserve">$150,000 for AI-driven traffic routing systems could reduce average response times to under 25 minutes. Piloted in Ilala District with 47% success rate.</w:t>
      </w:r>
    </w:p>
    <w:p>
      <w:pPr>
        <w:numPr>
          <w:ilvl w:val="0"/>
          <w:numId w:val="1004"/>
        </w:numPr>
        <w:pStyle w:val="Compact"/>
      </w:pPr>
      <w:r>
        <w:rPr>
          <w:bCs/>
          <w:b/>
        </w:rPr>
        <w:t xml:space="preserve">Mobile Paramedic Units:</w:t>
      </w:r>
      <w:r>
        <w:t xml:space="preserve"> </w:t>
      </w:r>
      <w:r>
        <w:t xml:space="preserve">Deploying 8 solar-powered mobile units targeting informal settlements (e.g., Kigamboni) would reach 400,000 underserved residents. Projected ROI: $2.1M in avoided hospitalization costs annually.</w:t>
      </w:r>
    </w:p>
    <w:p>
      <w:pPr>
        <w:numPr>
          <w:ilvl w:val="0"/>
          <w:numId w:val="1004"/>
        </w:numPr>
        <w:pStyle w:val="Compact"/>
      </w:pPr>
      <w:r>
        <w:rPr>
          <w:bCs/>
          <w:b/>
        </w:rPr>
        <w:t xml:space="preserve">Corporate Sponsorship Program:</w:t>
      </w:r>
      <w:r>
        <w:t xml:space="preserve"> </w:t>
      </w:r>
      <w:r>
        <w:t xml:space="preserve">Engaging Dar es Salaam businesses (e.g., Tigo Tanzania, Airtel) for "Paramedic Fleet Partnerships" generates recurring revenue while enhancing corporate social responsibility profiles.</w:t>
      </w:r>
    </w:p>
    <w:bookmarkEnd w:id="24"/>
    <w:bookmarkStart w:id="25" w:name="Xf044fcc6d8773a11c43b098c2755ffe00278735"/>
    <w:p>
      <w:pPr>
        <w:pStyle w:val="Heading2"/>
      </w:pPr>
      <w:r>
        <w:t xml:space="preserve">Conclusion: Paramedic Services as a Public Health Imperative</w:t>
      </w:r>
    </w:p>
    <w:p>
      <w:pPr>
        <w:pStyle w:val="FirstParagraph"/>
      </w:pPr>
      <w:r>
        <w:t xml:space="preserve">In Tanzania Dar es Salaam, the success of Paramedic services cannot be measured in traditional sales volumes but in lives saved and community resilience built. The 37% year-on-year growth in service utilization demonstrates that when healthcare delivery aligns with urban realities—addressing traffic, affordability, and cultural context—it becomes an indispensable public good. As Dar es Salaam continues its rapid urbanization, the Paramedic workforce is no longer a luxury; it is the frontline of Tanzania’s economic stability. Investing in these services yields direct returns: every minute saved in emergency response reduces healthcare costs by $85 (Tanzania Health Ministry, 2023). The path forward requires sustained collaboration between government, private sector, and communities to scale Paramedic coverage across all 6 districts of Dar es Salaam. This Sales Report concludes that prioritizing the Paramedic service ecosystem is not just a healthcare strategy—it is an investment in Tanzania’s future prosperity.</w:t>
      </w:r>
    </w:p>
    <w:bookmarkEnd w:id="25"/>
    <w:bookmarkStart w:id="26" w:name="appendix-key-performance-indicators"/>
    <w:p>
      <w:pPr>
        <w:pStyle w:val="Heading2"/>
      </w:pPr>
      <w:r>
        <w:t xml:space="preserve">Appendix: 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Change (%)</w:t>
            </w:r>
          </w:p>
        </w:tc>
      </w:tr>
      <w:tr>
        <w:tc>
          <w:tcPr/>
          <w:p>
            <w:pPr>
              <w:pStyle w:val="Compact"/>
              <w:jc w:val="left"/>
            </w:pPr>
            <w:r>
              <w:t xml:space="preserve">Total Paramedic Responses (Dar es Salaam)</w:t>
            </w:r>
          </w:p>
        </w:tc>
        <w:tc>
          <w:tcPr/>
          <w:p>
            <w:pPr>
              <w:pStyle w:val="Compact"/>
              <w:jc w:val="left"/>
            </w:pPr>
            <w:r>
              <w:t xml:space="preserve">4,157</w:t>
            </w:r>
          </w:p>
        </w:tc>
        <w:tc>
          <w:tcPr/>
          <w:p>
            <w:pPr>
              <w:pStyle w:val="Compact"/>
              <w:jc w:val="left"/>
            </w:pPr>
            <w:r>
              <w:t xml:space="preserve">5,689</w:t>
            </w:r>
          </w:p>
        </w:tc>
        <w:tc>
          <w:tcPr/>
          <w:p>
            <w:pPr>
              <w:pStyle w:val="Compact"/>
              <w:jc w:val="left"/>
            </w:pPr>
            <w:r>
              <w:t xml:space="preserve">+36.9%</w:t>
            </w:r>
          </w:p>
        </w:tc>
      </w:tr>
      <w:tr>
        <w:tc>
          <w:tcPr/>
          <w:p>
            <w:pPr>
              <w:pStyle w:val="Compact"/>
              <w:jc w:val="left"/>
            </w:pPr>
            <w:r>
              <w:t xml:space="preserve">Average Response Time (min)</w:t>
            </w:r>
          </w:p>
        </w:tc>
        <w:tc>
          <w:tcPr/>
          <w:p>
            <w:pPr>
              <w:pStyle w:val="Compact"/>
              <w:jc w:val="left"/>
            </w:pPr>
            <w:r>
              <w:t xml:space="preserve">42.7</w:t>
            </w:r>
          </w:p>
        </w:tc>
        <w:tc>
          <w:tcPr/>
          <w:p>
            <w:pPr>
              <w:pStyle w:val="Compact"/>
              <w:jc w:val="left"/>
            </w:pPr>
            <w:r>
              <w:t xml:space="preserve">30.1</w:t>
            </w:r>
          </w:p>
        </w:tc>
        <w:tc>
          <w:tcPr/>
          <w:p>
            <w:pPr>
              <w:pStyle w:val="Compact"/>
              <w:jc w:val="left"/>
            </w:pPr>
            <w:r>
              <w:t xml:space="preserve">-29.5%</w:t>
            </w:r>
          </w:p>
        </w:tc>
      </w:tr>
      <w:tr>
        <w:tc>
          <w:tcPr/>
          <w:p>
            <w:pPr>
              <w:pStyle w:val="Compact"/>
              <w:jc w:val="left"/>
            </w:pPr>
            <w:r>
              <w:t xml:space="preserve">Community-Generated Referrals</w:t>
            </w:r>
          </w:p>
        </w:tc>
        <w:tc>
          <w:tcPr/>
          <w:p>
            <w:pPr>
              <w:pStyle w:val="Compact"/>
              <w:jc w:val="left"/>
            </w:pPr>
            <w:r>
              <w:t xml:space="preserve">1,840</w:t>
            </w:r>
          </w:p>
        </w:tc>
        <w:tc>
          <w:tcPr/>
          <w:p>
            <w:pPr>
              <w:pStyle w:val="Compact"/>
              <w:jc w:val="left"/>
            </w:pPr>
            <w:r>
              <w:t xml:space="preserve">3,692</w:t>
            </w:r>
          </w:p>
        </w:tc>
        <w:tc>
          <w:tcPr/>
          <w:p>
            <w:pPr>
              <w:pStyle w:val="Compact"/>
              <w:jc w:val="left"/>
            </w:pPr>
            <w:r>
              <w:t xml:space="preserve">+101.7%</w:t>
            </w:r>
          </w:p>
        </w:tc>
      </w:tr>
      <w:tr>
        <w:tc>
          <w:tcPr/>
          <w:p>
            <w:pPr>
              <w:pStyle w:val="Compact"/>
              <w:jc w:val="left"/>
            </w:pPr>
            <w:r>
              <w:t xml:space="preserve">Satisfaction Rate (Public Survey)</w:t>
            </w:r>
          </w:p>
        </w:tc>
        <w:tc>
          <w:tcPr/>
          <w:p>
            <w:pPr>
              <w:pStyle w:val="Compact"/>
              <w:jc w:val="left"/>
            </w:pPr>
            <w:r>
              <w:t xml:space="preserve">68%</w:t>
            </w:r>
          </w:p>
        </w:tc>
        <w:tc>
          <w:tcPr/>
          <w:p>
            <w:pPr>
              <w:pStyle w:val="Compact"/>
              <w:jc w:val="left"/>
            </w:pPr>
            <w:r>
              <w:t xml:space="preserve">85%</w:t>
            </w:r>
          </w:p>
        </w:tc>
        <w:tc>
          <w:tcPr/>
          <w:p>
            <w:pPr>
              <w:pStyle w:val="Compact"/>
              <w:jc w:val="left"/>
            </w:pPr>
            <w:r>
              <w:t xml:space="preserve">+25.0%</w:t>
            </w:r>
          </w:p>
        </w:tc>
      </w:tr>
    </w:tbl>
    <w:p>
      <w:pPr>
        <w:pStyle w:val="BodyText"/>
      </w:pPr>
      <w:r>
        <w:rPr>
          <w:bCs/>
          <w:b/>
        </w:rPr>
        <w:t xml:space="preserve">Total Word Count:</w:t>
      </w:r>
      <w:r>
        <w:t xml:space="preserve"> </w:t>
      </w:r>
      <w:r>
        <w:t xml:space="preserve">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Service Utilization in Tanzania Dar es Salaam</dc:title>
  <dc:creator/>
  <dc:language>en</dc:language>
  <cp:keywords/>
  <dcterms:created xsi:type="dcterms:W3CDTF">2026-07-24T06:03:00Z</dcterms:created>
  <dcterms:modified xsi:type="dcterms:W3CDTF">2026-07-24T06:03:00Z</dcterms:modified>
</cp:coreProperties>
</file>

<file path=docProps/custom.xml><?xml version="1.0" encoding="utf-8"?>
<Properties xmlns="http://schemas.openxmlformats.org/officeDocument/2006/custom-properties" xmlns:vt="http://schemas.openxmlformats.org/officeDocument/2006/docPropsVTypes"/>
</file>