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Paramedic</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Turkey</w:t>
      </w:r>
      <w:r>
        <w:t xml:space="preserve"> </w:t>
      </w:r>
      <w:r>
        <w:t xml:space="preserve">Istanbul</w:t>
      </w:r>
    </w:p>
    <w:bookmarkStart w:id="27" w:name="Xf82055ddd4419bc0362eac2d7620167f782ef1d"/>
    <w:p>
      <w:pPr>
        <w:pStyle w:val="Heading1"/>
      </w:pPr>
      <w:r>
        <w:t xml:space="preserve">Sales Report: Strategic Expansion of Paramedic Services in Turkey Istanbul Market (Q3 2023)</w:t>
      </w:r>
    </w:p>
    <w:p>
      <w:pPr>
        <w:pStyle w:val="FirstParagraph"/>
      </w:pPr>
      <w:r>
        <w:rPr>
          <w:bCs/>
          <w:b/>
        </w:rPr>
        <w:t xml:space="preserve">Prepared For:</w:t>
      </w:r>
      <w:r>
        <w:t xml:space="preserve"> </w:t>
      </w:r>
      <w:r>
        <w:t xml:space="preserve">Executive Leadership, National Healthcare Innovation Division</w:t>
      </w:r>
      <w:r>
        <w:br/>
      </w:r>
      <w:r>
        <w:rPr>
          <w:bCs/>
          <w:b/>
        </w:rPr>
        <w:t xml:space="preserve">Date:</w:t>
      </w:r>
      <w:r>
        <w:t xml:space="preserve"> </w:t>
      </w:r>
      <w:r>
        <w:t xml:space="preserve">October 26, 2023</w:t>
      </w:r>
      <w:r>
        <w:br/>
      </w:r>
      <w:r>
        <w:rPr>
          <w:bCs/>
          <w:b/>
        </w:rPr>
        <w:t xml:space="preserve">Prepared By:</w:t>
      </w:r>
      <w:r>
        <w:t xml:space="preserve"> </w:t>
      </w:r>
      <w:r>
        <w:t xml:space="preserve">Regional Sales &amp; Strategy Directorate - Middle East Operations</w:t>
      </w:r>
    </w:p>
    <w:bookmarkStart w:id="20" w:name="i.-executive-summary"/>
    <w:p>
      <w:pPr>
        <w:pStyle w:val="Heading2"/>
      </w:pPr>
      <w:r>
        <w:t xml:space="preserve">I. Executive Summary</w:t>
      </w:r>
    </w:p>
    <w:p>
      <w:pPr>
        <w:pStyle w:val="FirstParagraph"/>
      </w:pPr>
      <w:r>
        <w:t xml:space="preserve">This comprehensive Sales Report details the strategic performance of advanced paramedic service delivery across Turkey Istanbul, the nation's largest metropolitan hub. With a population exceeding 16 million and critical infrastructure demands, Istanbul represents a pivotal market for specialized emergency medical services (EMS). The report confirms an 18.7% year-over-year increase in contracted paramedic deployments, driven by rising urbanization pressures and enhanced healthcare policy prioritization. This growth directly supports the Turkish Ministry of Health’s "Healthy City 2030" initiative, positioning Istanbul as a national benchmark for paramedic service excellence.</w:t>
      </w:r>
    </w:p>
    <w:bookmarkEnd w:id="20"/>
    <w:bookmarkStart w:id="21" w:name="X6ca01e0236cfb24f705fc4f735dec13867243c5"/>
    <w:p>
      <w:pPr>
        <w:pStyle w:val="Heading2"/>
      </w:pPr>
      <w:r>
        <w:t xml:space="preserve">II. Market Context: Why Turkey Istanbul Demands Paramedic Excellence</w:t>
      </w:r>
    </w:p>
    <w:p>
      <w:pPr>
        <w:pStyle w:val="FirstParagraph"/>
      </w:pPr>
      <w:r>
        <w:t xml:space="preserve">Istanbul's unique geographical and demographic profile creates unparalleled demand for agile paramedic response systems. Spanning two continents with dense population centers, complex traffic patterns, and significant seasonal tourism (30M+ annual visitors), emergency response times directly impact public health outcomes. According to the Turkish Statistical Institute (TÜİK), ambulance call volumes in Istanbul have increased by 24% since 2020, exceeding national averages by 37%. This surge necessitates a robust paramedic workforce trained for diverse scenarios—from acute cardiac events in high-rises to trauma incidents along the Bosphorus Strait. Our sales strategy directly addresses this gap by offering certified paramedic teams integrated with Istanbul’s existing emergency medical infrastructure.</w:t>
      </w:r>
    </w:p>
    <w:bookmarkEnd w:id="21"/>
    <w:bookmarkStart w:id="22" w:name="X61a880bba57ce3c00f6d53b3c92c7b1c1537c6d"/>
    <w:p>
      <w:pPr>
        <w:pStyle w:val="Heading2"/>
      </w:pPr>
      <w:r>
        <w:t xml:space="preserve">III. Paramedic Service Offerings: Tailored for Istanbul's Needs</w:t>
      </w:r>
    </w:p>
    <w:p>
      <w:pPr>
        <w:pStyle w:val="FirstParagraph"/>
      </w:pPr>
      <w:r>
        <w:t xml:space="preserve">The core of our Sales Report focuses on three differentiated paramedic service packages developed explicitly for the Turkey Istanbul market:</w:t>
      </w:r>
    </w:p>
    <w:p>
      <w:pPr>
        <w:numPr>
          <w:ilvl w:val="0"/>
          <w:numId w:val="1001"/>
        </w:numPr>
        <w:pStyle w:val="Compact"/>
      </w:pPr>
      <w:r>
        <w:rPr>
          <w:bCs/>
          <w:b/>
        </w:rPr>
        <w:t xml:space="preserve">Urban Rapid Response (URR):</w:t>
      </w:r>
      <w:r>
        <w:t xml:space="preserve"> </w:t>
      </w:r>
      <w:r>
        <w:t xml:space="preserve">Dedicated paramedic units stationed within 5km radius of high-density commercial districts (e.g., Taksim, Eminönü). Features AI-powered dispatch integration with Istanbul Metropolitan Municipality’s emergency network, reducing average response time to 7.2 minutes (vs. citywide average of 11.8 minutes).</w:t>
      </w:r>
    </w:p>
    <w:p>
      <w:pPr>
        <w:numPr>
          <w:ilvl w:val="0"/>
          <w:numId w:val="1001"/>
        </w:numPr>
        <w:pStyle w:val="Compact"/>
      </w:pPr>
      <w:r>
        <w:rPr>
          <w:bCs/>
          <w:b/>
        </w:rPr>
        <w:t xml:space="preserve">Disaster-Resilient Paramedic Teams:</w:t>
      </w:r>
      <w:r>
        <w:t xml:space="preserve"> </w:t>
      </w:r>
      <w:r>
        <w:t xml:space="preserve">Specialized units trained for earthquake scenarios (critical given Istanbul’s seismic risk). Includes mobile field hospitals and trauma kits compliant with Turkish Civil Defense Standards (TCDS 2023), deployed across all 39 districts.</w:t>
      </w:r>
    </w:p>
    <w:p>
      <w:pPr>
        <w:numPr>
          <w:ilvl w:val="0"/>
          <w:numId w:val="1001"/>
        </w:numPr>
        <w:pStyle w:val="Compact"/>
      </w:pPr>
      <w:r>
        <w:rPr>
          <w:bCs/>
          <w:b/>
        </w:rPr>
        <w:t xml:space="preserve">Community Paramedic Outreach:</w:t>
      </w:r>
      <w:r>
        <w:t xml:space="preserve"> </w:t>
      </w:r>
      <w:r>
        <w:t xml:space="preserve">Mobile clinics staffed by paramedics providing preventative care in underserved neighborhoods (e.g., Kadıköy, Üsküdar). Focuses on diabetes/heart disease screening for Istanbul’s aging population (15% over 65), reducing ER visits by 22% in pilot zones.</w:t>
      </w:r>
    </w:p>
    <w:bookmarkEnd w:id="22"/>
    <w:bookmarkStart w:id="23" w:name="Xeef82accacb21ab6d84a754e377c6b7c9e5656f"/>
    <w:p>
      <w:pPr>
        <w:pStyle w:val="Heading2"/>
      </w:pPr>
      <w:r>
        <w:t xml:space="preserve">IV. Sales Performance &amp; Market Penetration (Q3 2023)</w:t>
      </w:r>
    </w:p>
    <w:p>
      <w:pPr>
        <w:pStyle w:val="FirstParagraph"/>
      </w:pPr>
      <w:r>
        <w:t xml:space="preserve">Istanbul’s paramedic service market demonstrated exceptional traction, accounting for 68% of our total Turkey sales revenue this quarter. Key highlights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Tier</w:t>
            </w:r>
          </w:p>
        </w:tc>
        <w:tc>
          <w:tcPr/>
          <w:p>
            <w:pPr>
              <w:pStyle w:val="Compact"/>
              <w:jc w:val="left"/>
            </w:pPr>
            <w:r>
              <w:t xml:space="preserve">Contract Value (₺)</w:t>
            </w:r>
          </w:p>
        </w:tc>
        <w:tc>
          <w:tcPr/>
          <w:p>
            <w:pPr>
              <w:pStyle w:val="Compact"/>
              <w:jc w:val="left"/>
            </w:pPr>
            <w:r>
              <w:t xml:space="preserve">New Clients (Q3)</w:t>
            </w:r>
          </w:p>
        </w:tc>
        <w:tc>
          <w:tcPr/>
          <w:p>
            <w:pPr>
              <w:pStyle w:val="Compact"/>
              <w:jc w:val="left"/>
            </w:pPr>
            <w:r>
              <w:t xml:space="preserve">Market Share Gain</w:t>
            </w:r>
          </w:p>
        </w:tc>
      </w:tr>
      <w:tr>
        <w:tc>
          <w:tcPr/>
          <w:p>
            <w:pPr>
              <w:pStyle w:val="Compact"/>
              <w:jc w:val="left"/>
            </w:pPr>
            <w:r>
              <w:t xml:space="preserve">Urban Rapid Response</w:t>
            </w:r>
          </w:p>
        </w:tc>
        <w:tc>
          <w:tcPr/>
          <w:p>
            <w:pPr>
              <w:pStyle w:val="Compact"/>
              <w:jc w:val="left"/>
            </w:pPr>
            <w:r>
              <w:t xml:space="preserve">28,500,000</w:t>
            </w:r>
          </w:p>
        </w:tc>
        <w:tc>
          <w:tcPr/>
          <w:p>
            <w:pPr>
              <w:pStyle w:val="Compact"/>
              <w:jc w:val="left"/>
            </w:pPr>
            <w:r>
              <w:t xml:space="preserve">12 Municipal Hospitals</w:t>
            </w:r>
          </w:p>
        </w:tc>
        <w:tc>
          <w:tcPr/>
          <w:p>
            <w:pPr>
              <w:pStyle w:val="Compact"/>
              <w:jc w:val="left"/>
            </w:pPr>
            <w:r>
              <w:t xml:space="preserve">+9.3% (vs. Q2)</w:t>
            </w:r>
          </w:p>
        </w:tc>
      </w:tr>
      <w:tr>
        <w:tc>
          <w:tcPr/>
          <w:p>
            <w:pPr>
              <w:pStyle w:val="Compact"/>
              <w:jc w:val="left"/>
            </w:pPr>
            <w:r>
              <w:t xml:space="preserve">Disaster-Resilient Teams</w:t>
            </w:r>
          </w:p>
        </w:tc>
        <w:tc>
          <w:tcPr/>
          <w:p>
            <w:pPr>
              <w:pStyle w:val="Compact"/>
              <w:jc w:val="left"/>
            </w:pPr>
            <w:r>
              <w:t xml:space="preserve">17,850,000</w:t>
            </w:r>
          </w:p>
        </w:tc>
        <w:tc>
          <w:tcPr/>
          <w:p>
            <w:pPr>
              <w:pStyle w:val="Compact"/>
              <w:jc w:val="left"/>
            </w:pPr>
            <w:r>
              <w:t xml:space="preserve">4 City District Offices</w:t>
            </w:r>
          </w:p>
        </w:tc>
        <w:tc>
          <w:tcPr/>
          <w:p>
            <w:pPr>
              <w:pStyle w:val="Compact"/>
              <w:jc w:val="left"/>
            </w:pPr>
            <w:r>
              <w:t xml:space="preserve">+5.1%</w:t>
            </w:r>
          </w:p>
        </w:tc>
      </w:tr>
      <w:tr>
        <w:tc>
          <w:tcPr/>
          <w:p>
            <w:pPr>
              <w:pStyle w:val="Compact"/>
              <w:jc w:val="left"/>
            </w:pPr>
            <w:r>
              <w:t xml:space="preserve">Community Outreach</w:t>
            </w:r>
          </w:p>
        </w:tc>
        <w:tc>
          <w:tcPr/>
          <w:p>
            <w:pPr>
              <w:pStyle w:val="Compact"/>
              <w:jc w:val="left"/>
            </w:pPr>
            <w:r>
              <w:t xml:space="preserve">9,200,000</w:t>
            </w:r>
          </w:p>
        </w:tc>
        <w:tc>
          <w:tcPr/>
          <w:p>
            <w:pPr>
              <w:pStyle w:val="Compact"/>
              <w:jc w:val="left"/>
            </w:pPr>
            <w:r>
              <w:t xml:space="preserve">7 Non-Profit Health Networks</w:t>
            </w:r>
          </w:p>
        </w:tc>
        <w:tc>
          <w:tcPr/>
          <w:p>
            <w:pPr>
              <w:pStyle w:val="Compact"/>
              <w:jc w:val="left"/>
            </w:pPr>
            <w:r>
              <w:t xml:space="preserve">+14.6%</w:t>
            </w:r>
          </w:p>
        </w:tc>
      </w:tr>
    </w:tbl>
    <w:p>
      <w:pPr>
        <w:pStyle w:val="BodyText"/>
      </w:pPr>
      <w:r>
        <w:t xml:space="preserve">The 23% increase in new municipal contracts underscores Istanbul’s strategic shift toward public-private partnership models for EMS. Notably, the Istanbul Metropolitan Municipality signed a landmark €8.5M agreement for URR services covering 70% of the city center—a first-of-its-kind deal that positions our paramedic brand as Turkey's leading emergency response solution.</w:t>
      </w:r>
    </w:p>
    <w:bookmarkEnd w:id="23"/>
    <w:bookmarkStart w:id="24" w:name="v.-competitive-landscape-differentiation"/>
    <w:p>
      <w:pPr>
        <w:pStyle w:val="Heading2"/>
      </w:pPr>
      <w:r>
        <w:t xml:space="preserve">V. Competitive Landscape &amp; Differentiation</w:t>
      </w:r>
    </w:p>
    <w:p>
      <w:pPr>
        <w:pStyle w:val="FirstParagraph"/>
      </w:pPr>
      <w:r>
        <w:t xml:space="preserve">While traditional ambulance services dominate Istanbul’s EMS market, our Sales Report identifies a critical opportunity: 76% of competitors lack specialized paramedic training for urban chaos (per Turkish Health Ministry audit). Our differentiation stems from:</w:t>
      </w:r>
    </w:p>
    <w:p>
      <w:pPr>
        <w:numPr>
          <w:ilvl w:val="0"/>
          <w:numId w:val="1002"/>
        </w:numPr>
        <w:pStyle w:val="Compact"/>
      </w:pPr>
      <w:r>
        <w:rPr>
          <w:bCs/>
          <w:b/>
        </w:rPr>
        <w:t xml:space="preserve">Turkish-Certified Paramedics:</w:t>
      </w:r>
      <w:r>
        <w:t xml:space="preserve"> </w:t>
      </w:r>
      <w:r>
        <w:t xml:space="preserve">All staff hold licenses issued by the Turkish Ministry of Health’s Emergency Medical Services Commission, with 100% certified in advanced cardiac life support (ACLS) and wilderness medicine.</w:t>
      </w:r>
    </w:p>
    <w:p>
      <w:pPr>
        <w:numPr>
          <w:ilvl w:val="0"/>
          <w:numId w:val="1002"/>
        </w:numPr>
        <w:pStyle w:val="Compact"/>
      </w:pPr>
      <w:r>
        <w:rPr>
          <w:bCs/>
          <w:b/>
        </w:rPr>
        <w:t xml:space="preserve">Localized Training Programs:</w:t>
      </w:r>
      <w:r>
        <w:t xml:space="preserve"> </w:t>
      </w:r>
      <w:r>
        <w:t xml:space="preserve">In partnership with Istanbul University Cerrahpaşa School of Medicine, we deliver continuous skill updates addressing Istanbul-specific challenges (e.g., maritime rescues, high-altitude mountain emergencies near Kaçkar Mountains).</w:t>
      </w:r>
    </w:p>
    <w:p>
      <w:pPr>
        <w:numPr>
          <w:ilvl w:val="0"/>
          <w:numId w:val="1002"/>
        </w:numPr>
        <w:pStyle w:val="Compact"/>
      </w:pPr>
      <w:r>
        <w:rPr>
          <w:bCs/>
          <w:b/>
        </w:rPr>
        <w:t xml:space="preserve">Data-Driven Response Optimization:</w:t>
      </w:r>
      <w:r>
        <w:t xml:space="preserve"> </w:t>
      </w:r>
      <w:r>
        <w:t xml:space="preserve">Our proprietary "Istanbul EMS Analytics" platform processes real-time traffic/weather data to dynamically deploy paramedic units, proven to decrease critical incident mortality by 17% in pilot zones.</w:t>
      </w:r>
    </w:p>
    <w:bookmarkEnd w:id="24"/>
    <w:bookmarkStart w:id="25" w:name="vi.-challenges-strategic-recommendations"/>
    <w:p>
      <w:pPr>
        <w:pStyle w:val="Heading2"/>
      </w:pPr>
      <w:r>
        <w:t xml:space="preserve">VI. Challenges &amp; Strategic Recommendations</w:t>
      </w:r>
    </w:p>
    <w:p>
      <w:pPr>
        <w:pStyle w:val="FirstParagraph"/>
      </w:pPr>
      <w:r>
        <w:t xml:space="preserve">The Turkey Istanbul market presents unique hurdles requiring agile sales tactics:</w:t>
      </w:r>
    </w:p>
    <w:p>
      <w:pPr>
        <w:numPr>
          <w:ilvl w:val="0"/>
          <w:numId w:val="1003"/>
        </w:numPr>
        <w:pStyle w:val="Compact"/>
      </w:pPr>
      <w:r>
        <w:rPr>
          <w:bCs/>
          <w:b/>
        </w:rPr>
        <w:t xml:space="preserve">Regulatory Complexity:</w:t>
      </w:r>
      <w:r>
        <w:t xml:space="preserve"> </w:t>
      </w:r>
      <w:r>
        <w:t xml:space="preserve">Navigating municipal vs. national healthcare contracts requires dedicated legal liaisons (recommended: hire 3 local policy experts by Q1 2024).</w:t>
      </w:r>
    </w:p>
    <w:p>
      <w:pPr>
        <w:numPr>
          <w:ilvl w:val="0"/>
          <w:numId w:val="1003"/>
        </w:numPr>
        <w:pStyle w:val="Compact"/>
      </w:pPr>
      <w:r>
        <w:rPr>
          <w:bCs/>
          <w:b/>
        </w:rPr>
        <w:t xml:space="preserve">Public Perception Gap:</w:t>
      </w:r>
      <w:r>
        <w:t xml:space="preserve"> </w:t>
      </w:r>
      <w:r>
        <w:t xml:space="preserve">Misconceptions about "paramedics = basic first aid" limit adoption. Urgent need for community education campaigns in Turkish language.</w:t>
      </w:r>
    </w:p>
    <w:p>
      <w:pPr>
        <w:numPr>
          <w:ilvl w:val="0"/>
          <w:numId w:val="1003"/>
        </w:numPr>
        <w:pStyle w:val="Compact"/>
      </w:pPr>
      <w:r>
        <w:rPr>
          <w:bCs/>
          <w:b/>
        </w:rPr>
        <w:t xml:space="preserve">Talent Retention:</w:t>
      </w:r>
      <w:r>
        <w:t xml:space="preserve"> </w:t>
      </w:r>
      <w:r>
        <w:t xml:space="preserve">Competitive salaries remain critical; Istanbul’s paramedic turnover rate is 12% higher than national average (per ILO Turkey data).</w:t>
      </w:r>
    </w:p>
    <w:p>
      <w:pPr>
        <w:pStyle w:val="FirstParagraph"/>
      </w:pPr>
      <w:r>
        <w:t xml:space="preserve">We recommend prioritizing Tier-3 Community Outreach contracts to build grassroots trust before scaling disaster-resilient teams, ensuring sustainable market penetration.</w:t>
      </w:r>
    </w:p>
    <w:bookmarkEnd w:id="25"/>
    <w:bookmarkStart w:id="26" w:name="X986c9362123581d6e0cc21e18442ee946c01adf"/>
    <w:p>
      <w:pPr>
        <w:pStyle w:val="Heading2"/>
      </w:pPr>
      <w:r>
        <w:t xml:space="preserve">VII. Conclusion: Paramedic Services as Istanbul’s Healthcare Catalyst</w:t>
      </w:r>
    </w:p>
    <w:p>
      <w:pPr>
        <w:pStyle w:val="FirstParagraph"/>
      </w:pPr>
      <w:r>
        <w:t xml:space="preserve">This Sales Report affirms that paramedic services are no longer optional in Turkey Istanbul’s healthcare ecosystem—they are the operational backbone of a modern emergency response network. The 18.7% sales growth this quarter reflects not merely commercial success but a societal shift toward valuing proactive, skilled paramedic intervention. As Istanbul evolves into an EU-recognized smart city, our paramedic partnerships will directly contribute to the city’s goal of becoming a global model for efficient emergency medical delivery. We project 25% market share in Istanbul’s EMS sector by Q4 2024, with every sale advancing Turkey’s vision of accessible, life-saving care for all residents.</w:t>
      </w:r>
    </w:p>
    <w:p>
      <w:pPr>
        <w:pStyle w:val="BodyText"/>
      </w:pPr>
      <w:r>
        <w:rPr>
          <w:iCs/>
          <w:i/>
        </w:rPr>
        <w:t xml:space="preserve">Note: This report focuses strictly on paramedic service delivery contracts and does not constitute medical advice or product sales. All personnel comply with Turkish national healthcare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Paramedic Services Market Analysis - Turkey Istanbul</dc:title>
  <dc:creator/>
  <dc:language>en</dc:language>
  <cp:keywords/>
  <dcterms:created xsi:type="dcterms:W3CDTF">2025-12-11T06:52:21Z</dcterms:created>
  <dcterms:modified xsi:type="dcterms:W3CDTF">2025-12-11T06:52:21Z</dcterms:modified>
</cp:coreProperties>
</file>

<file path=docProps/custom.xml><?xml version="1.0" encoding="utf-8"?>
<Properties xmlns="http://schemas.openxmlformats.org/officeDocument/2006/custom-properties" xmlns:vt="http://schemas.openxmlformats.org/officeDocument/2006/docPropsVTypes"/>
</file>