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8" w:name="Xc4fd2fcb3ca9fa590b8620571b499a21025cfd0"/>
    <w:p>
      <w:pPr>
        <w:pStyle w:val="Heading1"/>
      </w:pPr>
      <w:r>
        <w:t xml:space="preserve">Strategic Sales Report: Advancing Petroleum Engineering Expertise for the Belgium Brussels Market</w:t>
      </w:r>
    </w:p>
    <w:p>
      <w:pPr>
        <w:pStyle w:val="FirstParagraph"/>
      </w:pPr>
      <w:r>
        <w:rPr>
          <w:bCs/>
          <w:b/>
        </w:rPr>
        <w:t xml:space="preserve">Sales Report</w:t>
      </w:r>
      <w:r>
        <w:t xml:space="preserve"> </w:t>
      </w:r>
      <w:r>
        <w:t xml:space="preserve">No. 2024-BRU-PE | Date: April 10, 2024 | Prepared For: Executive Leadership Team</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strategic market entry and growth opportunities for specialized</w:t>
      </w:r>
      <w:r>
        <w:t xml:space="preserve"> </w:t>
      </w:r>
      <w:r>
        <w:rPr>
          <w:bCs/>
          <w:b/>
        </w:rPr>
        <w:t xml:space="preserve">Petroleum Engineer</w:t>
      </w:r>
      <w:r>
        <w:t xml:space="preserve"> </w:t>
      </w:r>
      <w:r>
        <w:t xml:space="preserve">services within the Belgium Brussels ecosystem. Despite Belgium's limited hydrocarbon production, the capital city of Brussels serves as a pivotal hub for European energy policy, regulatory frameworks, and corporate decision-making centers. This report confirms that positioning a premier</w:t>
      </w:r>
      <w:r>
        <w:t xml:space="preserve"> </w:t>
      </w:r>
      <w:r>
        <w:rPr>
          <w:bCs/>
          <w:b/>
        </w:rPr>
        <w:t xml:space="preserve">Petroleum Engineer</w:t>
      </w:r>
      <w:r>
        <w:t xml:space="preserve"> </w:t>
      </w:r>
      <w:r>
        <w:t xml:space="preserve">team—specializing in carbon capture, refinery optimization, and sustainable transition technologies—is not only viable but strategically essential for capturing significant market share within the EU's evolving energy landscape. Our targeted approach leverages Belgium Brussels' unique geopolitical position to deliver high-value engineering solutions aligned with EU Green Deal initiatives.</w:t>
      </w:r>
    </w:p>
    <w:bookmarkEnd w:id="20"/>
    <w:bookmarkStart w:id="21" w:name="market-analysis-the-brussels-advantage"/>
    <w:p>
      <w:pPr>
        <w:pStyle w:val="Heading2"/>
      </w:pPr>
      <w:r>
        <w:t xml:space="preserve">Market Analysis: The Brussels Advantage</w:t>
      </w:r>
    </w:p>
    <w:p>
      <w:pPr>
        <w:pStyle w:val="FirstParagraph"/>
      </w:pPr>
      <w:r>
        <w:t xml:space="preserve">Belgium, particularly its capital region of</w:t>
      </w:r>
      <w:r>
        <w:t xml:space="preserve"> </w:t>
      </w:r>
      <w:r>
        <w:rPr>
          <w:bCs/>
          <w:b/>
        </w:rPr>
        <w:t xml:space="preserve">Belgium Brussels</w:t>
      </w:r>
      <w:r>
        <w:t xml:space="preserve">, functions as the de facto nerve center for European energy governance. Home to the European Commission, the Council of the European Union, and numerous multinational energy corporations (including Shell, TotalEnergies), Brussels dictates policy that directly impacts petroleum engineering operations across 27 member states. This creates an unparalleled opportunity for a specialized</w:t>
      </w:r>
      <w:r>
        <w:t xml:space="preserve"> </w:t>
      </w:r>
      <w:r>
        <w:rPr>
          <w:bCs/>
          <w:b/>
        </w:rPr>
        <w:t xml:space="preserve">Petroleum Engineer</w:t>
      </w:r>
      <w:r>
        <w:t xml:space="preserve"> </w:t>
      </w:r>
      <w:r>
        <w:t xml:space="preserve">consultancy to act as a strategic advisor rather than a mere service provider.</w:t>
      </w:r>
    </w:p>
    <w:p>
      <w:pPr>
        <w:pStyle w:val="BodyText"/>
      </w:pPr>
      <w:r>
        <w:t xml:space="preserve">Recent EU directives—such as the Carbon Border Adjustment Mechanism (CBAM) and Fit for 55 package—demand advanced engineering expertise in emissions tracking, hydrogen integration, and refinery decarbonization. Belgium's own energy transition strategy (2030-2050 roadmap) prioritizes optimizing existing infrastructure over new extraction, creating immediate demand for engineers skilled in retrofitting legacy systems. The Antwerp Port Cluster alone invests €15 billion annually in sustainable energy projects; a</w:t>
      </w:r>
      <w:r>
        <w:t xml:space="preserve"> </w:t>
      </w:r>
      <w:r>
        <w:rPr>
          <w:bCs/>
          <w:b/>
        </w:rPr>
        <w:t xml:space="preserve">Petroleum Engineer</w:t>
      </w:r>
      <w:r>
        <w:t xml:space="preserve"> </w:t>
      </w:r>
      <w:r>
        <w:t xml:space="preserve">with expertise in CCUS (Carbon Capture, Utilization, and Storage) is critical to these initiatives.</w:t>
      </w:r>
    </w:p>
    <w:bookmarkEnd w:id="21"/>
    <w:bookmarkStart w:id="22" w:name="X390d85ea3b0122f7c7a18fe1b940897c05a3857"/>
    <w:p>
      <w:pPr>
        <w:pStyle w:val="Heading2"/>
      </w:pPr>
      <w:r>
        <w:t xml:space="preserve">Our Value Proposition for Belgium Brussels</w:t>
      </w:r>
    </w:p>
    <w:p>
      <w:pPr>
        <w:pStyle w:val="FirstParagraph"/>
      </w:pPr>
      <w:r>
        <w:t xml:space="preserve">We propose deploying a dedicated team of senior</w:t>
      </w:r>
      <w:r>
        <w:t xml:space="preserve"> </w:t>
      </w:r>
      <w:r>
        <w:rPr>
          <w:bCs/>
          <w:b/>
        </w:rPr>
        <w:t xml:space="preserve">Petroleum Engineer</w:t>
      </w:r>
      <w:r>
        <w:t xml:space="preserve">s stationed in the Brussels metro area. This localization is non-negotiable: it ensures real-time alignment with EU regulatory discussions, facilitates direct engagement with policy makers at the Commission, and enables rapid response to corporate client needs within Belgium's strategic energy corridor.</w:t>
      </w:r>
    </w:p>
    <w:p>
      <w:pPr>
        <w:pStyle w:val="BodyText"/>
      </w:pPr>
      <w:r>
        <w:t xml:space="preserve">Our unique value includes:</w:t>
      </w:r>
    </w:p>
    <w:p>
      <w:pPr>
        <w:numPr>
          <w:ilvl w:val="0"/>
          <w:numId w:val="1001"/>
        </w:numPr>
        <w:pStyle w:val="Compact"/>
      </w:pPr>
      <w:r>
        <w:rPr>
          <w:bCs/>
          <w:b/>
        </w:rPr>
        <w:t xml:space="preserve">EU Policy Integration:</w:t>
      </w:r>
      <w:r>
        <w:t xml:space="preserve"> </w:t>
      </w:r>
      <w:r>
        <w:t xml:space="preserve">Our</w:t>
      </w:r>
      <w:r>
        <w:t xml:space="preserve"> </w:t>
      </w:r>
      <w:r>
        <w:rPr>
          <w:bCs/>
          <w:b/>
        </w:rPr>
        <w:t xml:space="preserve">Petroleum Engineer</w:t>
      </w:r>
      <w:r>
        <w:t xml:space="preserve">s possess direct experience advising on EU energy legislation, translating complex regulations into actionable engineering plans for clients in Belgium and beyond.</w:t>
      </w:r>
    </w:p>
    <w:p>
      <w:pPr>
        <w:numPr>
          <w:ilvl w:val="0"/>
          <w:numId w:val="1001"/>
        </w:numPr>
        <w:pStyle w:val="Compact"/>
      </w:pPr>
      <w:r>
        <w:rPr>
          <w:bCs/>
          <w:b/>
        </w:rPr>
        <w:t xml:space="preserve">Sustainable Transition Focus:</w:t>
      </w:r>
      <w:r>
        <w:t xml:space="preserve"> </w:t>
      </w:r>
      <w:r>
        <w:t xml:space="preserve">We move beyond traditional oil/gas services to deliver solutions for hydrogen infrastructure, biofuel integration, and carbon-negative refinery operations—aligning perfectly with</w:t>
      </w:r>
      <w:r>
        <w:t xml:space="preserve"> </w:t>
      </w:r>
      <w:r>
        <w:rPr>
          <w:bCs/>
          <w:b/>
        </w:rPr>
        <w:t xml:space="preserve">Belgium Brussels</w:t>
      </w:r>
      <w:r>
        <w:t xml:space="preserve">'s sustainability mandates.</w:t>
      </w:r>
    </w:p>
    <w:p>
      <w:pPr>
        <w:numPr>
          <w:ilvl w:val="0"/>
          <w:numId w:val="1001"/>
        </w:numPr>
        <w:pStyle w:val="Compact"/>
      </w:pPr>
      <w:r>
        <w:rPr>
          <w:bCs/>
          <w:b/>
        </w:rPr>
        <w:t xml:space="preserve">Network Access:</w:t>
      </w:r>
      <w:r>
        <w:t xml:space="preserve"> </w:t>
      </w:r>
      <w:r>
        <w:t xml:space="preserve">Through partnerships with key stakeholders like the European Energy Research Alliance (EERA) and Antwerp Port Authority, we provide clients with exclusive access to policy forums and pilot projects within</w:t>
      </w:r>
      <w:r>
        <w:t xml:space="preserve"> </w:t>
      </w:r>
      <w:r>
        <w:rPr>
          <w:bCs/>
          <w:b/>
        </w:rPr>
        <w:t xml:space="preserve">Belgium Brussels</w:t>
      </w:r>
      <w:r>
        <w:t xml:space="preserve">.</w:t>
      </w:r>
    </w:p>
    <w:bookmarkEnd w:id="22"/>
    <w:bookmarkStart w:id="23" w:name="tactical-deployment-in-belgium-brussels"/>
    <w:p>
      <w:pPr>
        <w:pStyle w:val="Heading2"/>
      </w:pPr>
      <w:r>
        <w:t xml:space="preserve">Tactical Deployment in Belgium Brussels</w:t>
      </w:r>
    </w:p>
    <w:p>
      <w:pPr>
        <w:pStyle w:val="FirstParagraph"/>
      </w:pPr>
      <w:r>
        <w:t xml:space="preserve">The strategy centers on three phased initiatives:</w:t>
      </w:r>
    </w:p>
    <w:p>
      <w:pPr>
        <w:numPr>
          <w:ilvl w:val="0"/>
          <w:numId w:val="1002"/>
        </w:numPr>
        <w:pStyle w:val="Compact"/>
      </w:pPr>
      <w:r>
        <w:rPr>
          <w:bCs/>
          <w:b/>
        </w:rPr>
        <w:t xml:space="preserve">Phase 1 (Q3 2024): Policy Advisory Wing.</w:t>
      </w:r>
      <w:r>
        <w:t xml:space="preserve"> </w:t>
      </w:r>
      <w:r>
        <w:t xml:space="preserve">Establish a Brussels-based office with two lead</w:t>
      </w:r>
      <w:r>
        <w:t xml:space="preserve"> </w:t>
      </w:r>
      <w:r>
        <w:rPr>
          <w:bCs/>
          <w:b/>
        </w:rPr>
        <w:t xml:space="preserve">Petroleum Engineer</w:t>
      </w:r>
      <w:r>
        <w:t xml:space="preserve">s focused exclusively on EU regulatory compliance. Targets include refining entities at Antwerp Port and energy consultancies serving the European Commission. Initial focus: CBAM reporting systems and refinery decarbonization roadmaps.</w:t>
      </w:r>
    </w:p>
    <w:p>
      <w:pPr>
        <w:numPr>
          <w:ilvl w:val="0"/>
          <w:numId w:val="1002"/>
        </w:numPr>
        <w:pStyle w:val="Compact"/>
      </w:pPr>
      <w:r>
        <w:rPr>
          <w:bCs/>
          <w:b/>
        </w:rPr>
        <w:t xml:space="preserve">Phase 2 (Q1 2025): Pilot Project Execution.</w:t>
      </w:r>
      <w:r>
        <w:t xml:space="preserve"> </w:t>
      </w:r>
      <w:r>
        <w:t xml:space="preserve">Secure contracts with two major Belgian industrial players for CCS retrofits at existing facilities. Leverage proximity to Brussels to fast-track permitting via EU policy channels. This phase directly demonstrates the ROI of our</w:t>
      </w:r>
      <w:r>
        <w:t xml:space="preserve"> </w:t>
      </w:r>
      <w:r>
        <w:rPr>
          <w:bCs/>
          <w:b/>
        </w:rPr>
        <w:t xml:space="preserve">Petroleum Engineer</w:t>
      </w:r>
      <w:r>
        <w:t xml:space="preserve"> </w:t>
      </w:r>
      <w:r>
        <w:t xml:space="preserve">expertise in a</w:t>
      </w:r>
      <w:r>
        <w:t xml:space="preserve"> </w:t>
      </w:r>
      <w:r>
        <w:rPr>
          <w:bCs/>
          <w:b/>
        </w:rPr>
        <w:t xml:space="preserve">Belgium Brussels</w:t>
      </w:r>
      <w:r>
        <w:t xml:space="preserve">-centric market.</w:t>
      </w:r>
    </w:p>
    <w:p>
      <w:pPr>
        <w:numPr>
          <w:ilvl w:val="0"/>
          <w:numId w:val="1002"/>
        </w:numPr>
        <w:pStyle w:val="Compact"/>
      </w:pPr>
      <w:r>
        <w:rPr>
          <w:bCs/>
          <w:b/>
        </w:rPr>
        <w:t xml:space="preserve">Phase 3 (Q4 2025): Ecosystem Leadership.</w:t>
      </w:r>
      <w:r>
        <w:t xml:space="preserve"> </w:t>
      </w:r>
      <w:r>
        <w:t xml:space="preserve">Position as the go-to engineering partner for EU energy transition projects. Host quarterly "Brussels Energy Dialogues" with Commission officials, industry leaders, and academic institutions to cement our role as a strategic thought leader.</w:t>
      </w:r>
    </w:p>
    <w:bookmarkEnd w:id="23"/>
    <w:bookmarkStart w:id="24" w:name="competitive-landscape-differentiation"/>
    <w:p>
      <w:pPr>
        <w:pStyle w:val="Heading2"/>
      </w:pPr>
      <w:r>
        <w:t xml:space="preserve">Competitive Landscape &amp; Differentiation</w:t>
      </w:r>
    </w:p>
    <w:p>
      <w:pPr>
        <w:pStyle w:val="FirstParagraph"/>
      </w:pPr>
      <w:r>
        <w:t xml:space="preserve">Traditional petroleum engineering firms operate from London or Houston—missing the Brussels context entirely. Local Belgian consultancies lack technical depth in energy transition. Our differentiator is the fusion of:</w:t>
      </w:r>
    </w:p>
    <w:p>
      <w:pPr>
        <w:numPr>
          <w:ilvl w:val="0"/>
          <w:numId w:val="1003"/>
        </w:numPr>
        <w:pStyle w:val="Compact"/>
      </w:pPr>
      <w:r>
        <w:rPr>
          <w:bCs/>
          <w:b/>
        </w:rPr>
        <w:t xml:space="preserve">Deep Technical Expertise:</w:t>
      </w:r>
      <w:r>
        <w:t xml:space="preserve"> </w:t>
      </w:r>
      <w:r>
        <w:t xml:space="preserve">All our engineers hold dual credentials (PE license + EU Energy Transition certification).</w:t>
      </w:r>
    </w:p>
    <w:p>
      <w:pPr>
        <w:numPr>
          <w:ilvl w:val="0"/>
          <w:numId w:val="1003"/>
        </w:numPr>
        <w:pStyle w:val="Compact"/>
      </w:pPr>
      <w:r>
        <w:rPr>
          <w:bCs/>
          <w:b/>
        </w:rPr>
        <w:t xml:space="preserve">Brussels-Specific Insight:</w:t>
      </w:r>
      <w:r>
        <w:t xml:space="preserve"> </w:t>
      </w:r>
      <w:r>
        <w:t xml:space="preserve">Unrivalled understanding of how EU policy cycles impact engineering project timelines and budgets.</w:t>
      </w:r>
    </w:p>
    <w:p>
      <w:pPr>
        <w:numPr>
          <w:ilvl w:val="0"/>
          <w:numId w:val="1003"/>
        </w:numPr>
        <w:pStyle w:val="Compact"/>
      </w:pPr>
      <w:r>
        <w:rPr>
          <w:bCs/>
          <w:b/>
        </w:rPr>
        <w:t xml:space="preserve">Strategic Location Advantage:</w:t>
      </w:r>
      <w:r>
        <w:t xml:space="preserve"> </w:t>
      </w:r>
      <w:r>
        <w:t xml:space="preserve">Immediate access to Commission working groups, as demonstrated by our recent engagement with the Energy Committee on hydrogen standards.</w:t>
      </w:r>
    </w:p>
    <w:bookmarkEnd w:id="24"/>
    <w:bookmarkStart w:id="25" w:name="tangible-sales-metrics-projections"/>
    <w:p>
      <w:pPr>
        <w:pStyle w:val="Heading2"/>
      </w:pPr>
      <w:r>
        <w:t xml:space="preserve">Tangible Sales Metrics &amp; Projections</w:t>
      </w:r>
    </w:p>
    <w:p>
      <w:pPr>
        <w:pStyle w:val="FirstParagraph"/>
      </w:pPr>
      <w:r>
        <w:t xml:space="preserve">This</w:t>
      </w:r>
      <w:r>
        <w:t xml:space="preserve"> </w:t>
      </w:r>
      <w:r>
        <w:rPr>
          <w:bCs/>
          <w:b/>
        </w:rPr>
        <w:t xml:space="preserve">Sales Report</w:t>
      </w:r>
      <w:r>
        <w:t xml:space="preserve"> </w:t>
      </w:r>
      <w:r>
        <w:t xml:space="preserve">forecasts a 45% revenue contribution from Belgium Brussels within 18 months. Current pipeline includes:</w:t>
      </w:r>
    </w:p>
    <w:p>
      <w:pPr>
        <w:pStyle w:val="BodyText"/>
      </w:pPr>
      <w:r>
        <w:t xml:space="preserve">Client Type</w:t>
      </w:r>
    </w:p>
    <w:p>
      <w:pPr>
        <w:pStyle w:val="BodyText"/>
      </w:pPr>
      <w:r>
        <w:t xml:space="preserve">Project Scope</w:t>
      </w:r>
    </w:p>
    <w:p>
      <w:pPr>
        <w:pStyle w:val="BodyText"/>
      </w:pPr>
      <w:r>
        <w:t xml:space="preserve">Estimated Value (€)</w:t>
      </w:r>
    </w:p>
    <w:p>
      <w:pPr>
        <w:pStyle w:val="BodyText"/>
      </w:pPr>
      <w:r>
        <w:t xml:space="preserve">Status</w:t>
      </w:r>
    </w:p>
    <w:p>
      <w:pPr>
        <w:pStyle w:val="BodyText"/>
      </w:pPr>
      <w:r>
        <w:t xml:space="preserve">LNG Terminal Operator (Antwerp)</w:t>
      </w:r>
    </w:p>
    <w:p>
      <w:pPr>
        <w:pStyle w:val="BodyText"/>
      </w:pPr>
      <w:r>
        <w:t xml:space="preserve">Hydrogen-ready pipeline retrofits</w:t>
      </w:r>
    </w:p>
    <w:p>
      <w:pPr>
        <w:pStyle w:val="BodyText"/>
      </w:pPr>
      <w:r>
        <w:t xml:space="preserve">850,000</w:t>
      </w:r>
    </w:p>
    <w:p>
      <w:pPr>
        <w:pStyle w:val="BodyText"/>
      </w:pPr>
      <w:r>
        <w:t xml:space="preserve">LOI Signed</w:t>
      </w:r>
    </w:p>
    <w:p>
      <w:pPr>
        <w:pStyle w:val="BodyText"/>
      </w:pPr>
      <w:r>
        <w:t xml:space="preserve">Multinational Refiner (Brussels HQ)</w:t>
      </w:r>
    </w:p>
    <w:p>
      <w:pPr>
        <w:pStyle w:val="BodyText"/>
      </w:pPr>
      <w:r>
        <w:t xml:space="preserve">&lt;</w:t>
      </w:r>
    </w:p>
    <w:p>
      <w:pPr>
        <w:pStyle w:val="BodyText"/>
      </w:pPr>
      <w:r>
        <w:t xml:space="preserve">Capture &amp; storage feasibility study for CO2 streams</w:t>
      </w:r>
    </w:p>
    <w:p>
      <w:pPr>
        <w:pStyle w:val="BodyText"/>
      </w:pPr>
      <w:r>
        <w:t xml:space="preserve">625,000</w:t>
      </w:r>
    </w:p>
    <w:p>
      <w:pPr>
        <w:pStyle w:val="BodyText"/>
      </w:pPr>
      <w:r>
        <w:t xml:space="preserve">Pending Tender</w:t>
      </w:r>
    </w:p>
    <w:p>
      <w:pPr>
        <w:pStyle w:val="BodyText"/>
      </w:pPr>
      <w:r>
        <w:t xml:space="preserve">Belgian Energy Agency</w:t>
      </w:r>
    </w:p>
    <w:p>
      <w:pPr>
        <w:pStyle w:val="BodyText"/>
      </w:pPr>
      <w:r>
        <w:t xml:space="preserve">EU Green Deal compliance framework design</w:t>
      </w:r>
    </w:p>
    <w:p>
      <w:pPr>
        <w:pStyle w:val="BodyText"/>
      </w:pPr>
      <w:r>
        <w:t xml:space="preserve">&lt;</w:t>
      </w:r>
    </w:p>
    <w:p>
      <w:pPr>
        <w:pStyle w:val="BodyText"/>
      </w:pPr>
      <w:r>
        <w:t xml:space="preserve">475,000</w:t>
      </w:r>
    </w:p>
    <w:p>
      <w:pPr>
        <w:pStyle w:val="BodyText"/>
      </w:pPr>
      <w:r>
        <w:t xml:space="preserve">Negotiations Phase 3</w:t>
      </w:r>
    </w:p>
    <w:p>
      <w:pPr>
        <w:pStyle w:val="BodyText"/>
      </w:pPr>
      <w:r>
        <w:t xml:space="preserve">Total pipeline value: €1.95 million with &gt;78% conversion probability based on Brussels regulatory timelines.</w:t>
      </w:r>
    </w:p>
    <w:bookmarkEnd w:id="25"/>
    <w:bookmarkStart w:id="26" w:name="X7ecd98120269f80a2f30adee38fb718a018c209"/>
    <w:p>
      <w:pPr>
        <w:pStyle w:val="Heading2"/>
      </w:pPr>
      <w:r>
        <w:t xml:space="preserve">Risk Mitigation: Addressing Belgium Brussels Nuances</w:t>
      </w:r>
    </w:p>
    <w:p>
      <w:pPr>
        <w:pStyle w:val="FirstParagraph"/>
      </w:pPr>
      <w:r>
        <w:t xml:space="preserve">We acknowledge two critical risks specific to this market:</w:t>
      </w:r>
    </w:p>
    <w:p>
      <w:pPr>
        <w:numPr>
          <w:ilvl w:val="0"/>
          <w:numId w:val="1004"/>
        </w:numPr>
        <w:pStyle w:val="Compact"/>
      </w:pPr>
      <w:r>
        <w:rPr>
          <w:bCs/>
          <w:b/>
        </w:rPr>
        <w:t xml:space="preserve">Regulatory Volatility:</w:t>
      </w:r>
      <w:r>
        <w:t xml:space="preserve"> </w:t>
      </w:r>
      <w:r>
        <w:t xml:space="preserve">EU energy policies shift rapidly. Our solution: Embedding two engineers directly within the Commission's Energy Directorate-General (DG ENER) as non-voting advisors, ensuring real-time policy intelligence.</w:t>
      </w:r>
    </w:p>
    <w:p>
      <w:pPr>
        <w:numPr>
          <w:ilvl w:val="0"/>
          <w:numId w:val="1004"/>
        </w:numPr>
        <w:pStyle w:val="Compact"/>
      </w:pPr>
      <w:r>
        <w:rPr>
          <w:bCs/>
          <w:b/>
        </w:rPr>
        <w:t xml:space="preserve">Cultural Nuance:</w:t>
      </w:r>
      <w:r>
        <w:t xml:space="preserve"> </w:t>
      </w:r>
      <w:r>
        <w:t xml:space="preserve">Belgian business culture prioritizes consensus-building over speed. We address this by co-locating our team at a Brussels-based "Innovation Hub" with established connections to Flemish and Walloon industry groups, accelerating relationship development.</w:t>
      </w:r>
    </w:p>
    <w:bookmarkEnd w:id="26"/>
    <w:bookmarkStart w:id="27" w:name="X2a0ab75f7b911e16997616b84dca11122326219"/>
    <w:p>
      <w:pPr>
        <w:pStyle w:val="Heading2"/>
      </w:pPr>
      <w:r>
        <w:t xml:space="preserve">Conclusion: The Imperative for Belgium Brussels</w:t>
      </w:r>
    </w:p>
    <w:p>
      <w:pPr>
        <w:pStyle w:val="FirstParagraph"/>
      </w:pPr>
      <w:r>
        <w:t xml:space="preserve">This</w:t>
      </w:r>
      <w:r>
        <w:t xml:space="preserve"> </w:t>
      </w:r>
      <w:r>
        <w:rPr>
          <w:bCs/>
          <w:b/>
        </w:rPr>
        <w:t xml:space="preserve">Sales Report</w:t>
      </w:r>
      <w:r>
        <w:t xml:space="preserve"> </w:t>
      </w:r>
      <w:r>
        <w:t xml:space="preserve">unequivocally demonstrates that the Belgium Brussels market represents not merely an opportunity but a strategic necessity for any global firm seeking to lead in sustainable energy engineering. The convergence of EU regulatory authority, industrial infrastructure (Antwerp Port), and policy-driven transition projects creates a perfect storm for our specialized</w:t>
      </w:r>
      <w:r>
        <w:t xml:space="preserve"> </w:t>
      </w:r>
      <w:r>
        <w:rPr>
          <w:bCs/>
          <w:b/>
        </w:rPr>
        <w:t xml:space="preserve">Petroleum Engineer</w:t>
      </w:r>
      <w:r>
        <w:t xml:space="preserve"> </w:t>
      </w:r>
      <w:r>
        <w:t xml:space="preserve">team. By embedding ourselves within the heart of European energy governance, we transform from service providers into indispensable strategic partners—turning Belgium's political capital into our most potent sales asset.</w:t>
      </w:r>
    </w:p>
    <w:p>
      <w:pPr>
        <w:pStyle w:val="BodyText"/>
      </w:pPr>
      <w:r>
        <w:t xml:space="preserve">Our proposed investment of €320,000 for the Brussels office launch (including recruitment, policy engagement initiatives, and local partnership development) yields a projected ROI of 245% by Q4 2025. The time to dominate this space is now: as Belgium Brussels solidifies its role as the epicenter of Europe's energy transition, the demand for</w:t>
      </w:r>
      <w:r>
        <w:t xml:space="preserve"> </w:t>
      </w:r>
      <w:r>
        <w:rPr>
          <w:bCs/>
          <w:b/>
        </w:rPr>
        <w:t xml:space="preserve">Petroleum Engineer</w:t>
      </w:r>
      <w:r>
        <w:t xml:space="preserve"> </w:t>
      </w:r>
      <w:r>
        <w:t xml:space="preserve">expertise will only accelerate. We urge immediate approval to activate Phase 1 within 30 days.</w:t>
      </w:r>
    </w:p>
    <w:p>
      <w:pPr>
        <w:pStyle w:val="BodyText"/>
      </w:pPr>
      <w:r>
        <w:rPr>
          <w:iCs/>
          <w:i/>
        </w:rPr>
        <w:t xml:space="preserve">Prepared by: Global Energy Solutions Division | For strategic alignment with EU Green Deal priorities in Belgium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Sales Report: Petroleum Engineering Services in Belgium Brussels</dc:title>
  <dc:creator/>
  <dc:language>en</dc:language>
  <cp:keywords/>
  <dcterms:created xsi:type="dcterms:W3CDTF">2025-12-11T06:51:37Z</dcterms:created>
  <dcterms:modified xsi:type="dcterms:W3CDTF">2025-12-11T06:51:37Z</dcterms:modified>
</cp:coreProperties>
</file>

<file path=docProps/custom.xml><?xml version="1.0" encoding="utf-8"?>
<Properties xmlns="http://schemas.openxmlformats.org/officeDocument/2006/custom-properties" xmlns:vt="http://schemas.openxmlformats.org/officeDocument/2006/docPropsVTypes"/>
</file>