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31" w:name="Xf7e15ed13cabec170507f9ae1fe6320bf14e6e0"/>
    <w:p>
      <w:pPr>
        <w:pStyle w:val="Heading1"/>
      </w:pPr>
      <w:r>
        <w:t xml:space="preserve">Sales Report: Advancing Energy Innovation Through Petroleum Engineering Expertise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EnergiTech Solutions GmbH</w:t>
      </w:r>
      <w:r>
        <w:br/>
      </w:r>
      <w:r>
        <w:rPr>
          <w:bCs/>
          <w:b/>
        </w:rPr>
        <w:t xml:space="preserve">Region Covered:</w:t>
      </w:r>
      <w:r>
        <w:t xml:space="preserve"> </w:t>
      </w:r>
      <w:r>
        <w:t xml:space="preserve">Germany (Focus: Berlin Metropolitan Area)</w:t>
      </w:r>
    </w:p>
    <w:bookmarkStart w:id="20" w:name="i.-executive-summary"/>
    <w:p>
      <w:pPr>
        <w:pStyle w:val="Heading2"/>
      </w:pPr>
      <w:r>
        <w:t xml:space="preserve">I. Executive Summary</w:t>
      </w:r>
    </w:p>
    <w:p>
      <w:pPr>
        <w:pStyle w:val="FirstParagraph"/>
      </w:pPr>
      <w:r>
        <w:t xml:space="preserve">This report details the strategic sales performance of specialized Petroleum Engineer services within Berlin, Germany's energy innovation epicenter. Despite common misconceptions about petroleum activity in urban centers, we have successfully positioned our engineering solutions at the nexus of Germany's energy transition, infrastructure modernization, and global hydrocarbon supply chain requirements. The Berlin market has demonstrated robust demand (18% YoY growth in Q3 2023) for advanced Petroleum Engineer talent and technology integration to support both legacy oil &amp; gas operations and emerging clean-energy transitions. This report confirms Berlin as a critical hub where petroleum engineering expertise drives sustainable economic value.</w:t>
      </w:r>
    </w:p>
    <w:bookmarkEnd w:id="20"/>
    <w:bookmarkStart w:id="21" w:name="Xb57f3d6af6c646b3dc01359bfff42bb34db8ea1"/>
    <w:p>
      <w:pPr>
        <w:pStyle w:val="Heading2"/>
      </w:pPr>
      <w:r>
        <w:t xml:space="preserve">II. Market Context: Petroleum Engineering in the Berlin Energy Landscape</w:t>
      </w:r>
    </w:p>
    <w:p>
      <w:pPr>
        <w:pStyle w:val="FirstParagraph"/>
      </w:pPr>
      <w:r>
        <w:t xml:space="preserve">Germany’s energy strategy prioritizes phasing out coal by 2030 while maintaining secure hydrocarbon supplies during transition. Berlin, as the political and technological nerve center of Germany, hosts key institutions driving this shift: the Federal Ministry for Economic Affairs and Climate Action (BMWK), the Energy Transition Forum, and over 150 energy-tech startups in Berlin’s "Energiesector" cluster. Critically,</w:t>
      </w:r>
      <w:r>
        <w:t xml:space="preserve"> </w:t>
      </w:r>
      <w:r>
        <w:rPr>
          <w:bCs/>
          <w:b/>
        </w:rPr>
        <w:t xml:space="preserve">Petroleum Engineer</w:t>
      </w:r>
      <w:r>
        <w:t xml:space="preserve"> </w:t>
      </w:r>
      <w:r>
        <w:t xml:space="preserve">professionals are no longer solely associated with extraction—they are pivotal in:</w:t>
      </w:r>
    </w:p>
    <w:p>
      <w:pPr>
        <w:numPr>
          <w:ilvl w:val="0"/>
          <w:numId w:val="1001"/>
        </w:numPr>
        <w:pStyle w:val="Compact"/>
      </w:pPr>
      <w:r>
        <w:rPr>
          <w:iCs/>
          <w:i/>
        </w:rPr>
        <w:t xml:space="preserve">Carbon Capture Utilization &amp; Storage (CCUS)</w:t>
      </w:r>
      <w:r>
        <w:t xml:space="preserve">: Designing pipelines and injection systems for industrial emissions.</w:t>
      </w:r>
    </w:p>
    <w:p>
      <w:pPr>
        <w:numPr>
          <w:ilvl w:val="0"/>
          <w:numId w:val="1001"/>
        </w:numPr>
        <w:pStyle w:val="Compact"/>
      </w:pPr>
      <w:r>
        <w:rPr>
          <w:iCs/>
          <w:i/>
        </w:rPr>
        <w:t xml:space="preserve">LNG Terminal Optimization</w:t>
      </w:r>
      <w:r>
        <w:t xml:space="preserve">: Berlin-based firms like RWE Energy Solutions require engineers to modernize import infrastructure.</w:t>
      </w:r>
    </w:p>
    <w:p>
      <w:pPr>
        <w:numPr>
          <w:ilvl w:val="0"/>
          <w:numId w:val="1001"/>
        </w:numPr>
        <w:pStyle w:val="Compact"/>
      </w:pPr>
      <w:r>
        <w:rPr>
          <w:iCs/>
          <w:i/>
        </w:rPr>
        <w:t xml:space="preserve">Legacy Asset Management</w:t>
      </w:r>
      <w:r>
        <w:t xml:space="preserve">: Maintaining aging North Sea oil infrastructure through remote monitoring solutions.</w:t>
      </w:r>
    </w:p>
    <w:p>
      <w:pPr>
        <w:pStyle w:val="FirstParagraph"/>
      </w:pPr>
      <w:r>
        <w:t xml:space="preserve">Our sales strategy leveraged Berlin’s unique position: not as an oil-producing region, but as the *strategic command center* for Europe’s energy systems. This repositioning eliminated market friction and aligned with Germany's 2030 climate goals.</w:t>
      </w:r>
    </w:p>
    <w:bookmarkEnd w:id="21"/>
    <w:bookmarkStart w:id="22" w:name="X105a66aed8a607dcf2ea38252e43ae9c7eb2521"/>
    <w:p>
      <w:pPr>
        <w:pStyle w:val="Heading2"/>
      </w:pPr>
      <w:r>
        <w:t xml:space="preserve">III. Sales Performance Highlights (Berlin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Growth</w:t>
            </w:r>
          </w:p>
        </w:tc>
        <w:tc>
          <w:tcPr/>
          <w:p>
            <w:pPr>
              <w:pStyle w:val="Compact"/>
            </w:pPr>
          </w:p>
        </w:tc>
      </w:tr>
      <w:tr>
        <w:tc>
          <w:tcPr/>
          <w:p>
            <w:pPr>
              <w:pStyle w:val="Compact"/>
              <w:jc w:val="left"/>
            </w:pPr>
            <w:r>
              <w:t xml:space="preserve">Revenue from Petroleum Engineer Services (Berlin)</w:t>
            </w:r>
          </w:p>
        </w:tc>
        <w:tc>
          <w:tcPr/>
          <w:p>
            <w:pPr>
              <w:pStyle w:val="Compact"/>
              <w:jc w:val="left"/>
            </w:pPr>
            <w:r>
              <w:t xml:space="preserve">€4.8M</w:t>
            </w:r>
          </w:p>
        </w:tc>
        <w:tc>
          <w:tcPr/>
          <w:p>
            <w:pPr>
              <w:pStyle w:val="Compact"/>
              <w:jc w:val="left"/>
            </w:pPr>
            <w:r>
              <w:t xml:space="preserve">€4.1M</w:t>
            </w:r>
          </w:p>
        </w:tc>
        <w:tc>
          <w:tcPr/>
          <w:p>
            <w:pPr>
              <w:pStyle w:val="Compact"/>
              <w:jc w:val="left"/>
            </w:pPr>
            <w:r>
              <w:t xml:space="preserve">+17.0%</w:t>
            </w:r>
          </w:p>
        </w:tc>
        <w:tc>
          <w:tcPr/>
          <w:p>
            <w:pPr>
              <w:pStyle w:val="Compact"/>
            </w:pPr>
          </w:p>
        </w:tc>
      </w:tr>
      <w:tr>
        <w:tc>
          <w:tcPr/>
          <w:p>
            <w:pPr>
              <w:pStyle w:val="Compact"/>
              <w:jc w:val="left"/>
            </w:pPr>
            <w:r>
              <w:t xml:space="preserve">New Enterprise Contracts Secured</w:t>
            </w:r>
          </w:p>
        </w:tc>
        <w:tc>
          <w:tcPr/>
          <w:p>
            <w:pPr>
              <w:pStyle w:val="Compact"/>
              <w:jc w:val="left"/>
            </w:pPr>
            <w:r>
              <w:t xml:space="preserve">22</w:t>
            </w:r>
          </w:p>
        </w:tc>
        <w:tc>
          <w:tcPr>
            <w:gridSpan w:val="3"/>
          </w:tcPr>
          <w:p>
            <w:pPr>
              <w:pStyle w:val="Compact"/>
              <w:jc w:val="left"/>
            </w:pPr>
            <w:r>
              <w:t xml:space="preserve">Key Clients in Berlin (Q3 2023)</w:t>
            </w:r>
          </w:p>
        </w:tc>
      </w:tr>
      <w:tr>
        <w:tc>
          <w:tcPr/>
          <w:p>
            <w:pPr>
              <w:pStyle w:val="Compact"/>
              <w:jc w:val="left"/>
            </w:pPr>
            <w:r>
              <w:t xml:space="preserve">Deutsche Bahn Climate Solutions Unit (LNG Rail Optimization)</w:t>
            </w:r>
          </w:p>
        </w:tc>
        <w:tc>
          <w:tcPr/>
          <w:p>
            <w:pPr>
              <w:pStyle w:val="Compact"/>
              <w:jc w:val="left"/>
            </w:pPr>
            <w:r>
              <w:t xml:space="preserve">€850K</w:t>
            </w:r>
          </w:p>
        </w:tc>
        <w:tc>
          <w:tcPr/>
          <w:p>
            <w:pPr>
              <w:pStyle w:val="Compact"/>
            </w:pPr>
          </w:p>
        </w:tc>
        <w:tc>
          <w:tcPr/>
          <w:p>
            <w:pPr>
              <w:pStyle w:val="Compact"/>
            </w:pPr>
          </w:p>
        </w:tc>
        <w:tc>
          <w:tcPr/>
          <w:p>
            <w:pPr>
              <w:pStyle w:val="Compact"/>
            </w:pPr>
          </w:p>
        </w:tc>
      </w:tr>
      <w:tr>
        <w:tc>
          <w:tcPr/>
          <w:p>
            <w:pPr>
              <w:pStyle w:val="Compact"/>
              <w:jc w:val="left"/>
            </w:pPr>
            <w:r>
              <w:t xml:space="preserve">Siemens Energy - CCUS Pipeline Design</w:t>
            </w:r>
          </w:p>
        </w:tc>
        <w:tc>
          <w:tcPr/>
          <w:p>
            <w:pPr>
              <w:pStyle w:val="Compact"/>
              <w:jc w:val="left"/>
            </w:pPr>
            <w:r>
              <w:t xml:space="preserve">€1.2M</w:t>
            </w:r>
          </w:p>
        </w:tc>
        <w:tc>
          <w:tcPr/>
          <w:p>
            <w:pPr>
              <w:pStyle w:val="Compact"/>
            </w:pPr>
          </w:p>
        </w:tc>
        <w:tc>
          <w:tcPr/>
          <w:p>
            <w:pPr>
              <w:pStyle w:val="Compact"/>
            </w:pPr>
          </w:p>
        </w:tc>
        <w:tc>
          <w:tcPr/>
          <w:p>
            <w:pPr>
              <w:pStyle w:val="Compact"/>
            </w:pPr>
          </w:p>
        </w:tc>
      </w:tr>
      <w:tr>
        <w:tc>
          <w:tcPr/>
          <w:p>
            <w:pPr>
              <w:pStyle w:val="Compact"/>
              <w:jc w:val="left"/>
            </w:pPr>
            <w:r>
              <w:t xml:space="preserve">Berlin-Brandenburg Innovation Cluster (Hydrogen Storage)</w:t>
            </w:r>
          </w:p>
        </w:tc>
        <w:tc>
          <w:tcPr/>
          <w:p>
            <w:pPr>
              <w:pStyle w:val="Compact"/>
              <w:jc w:val="left"/>
            </w:pPr>
            <w:r>
              <w:t xml:space="preserve">€675K</w:t>
            </w:r>
          </w:p>
        </w:tc>
        <w:tc>
          <w:tcPr/>
          <w:p>
            <w:pPr>
              <w:pStyle w:val="Compact"/>
            </w:pPr>
          </w:p>
        </w:tc>
        <w:tc>
          <w:tcPr/>
          <w:p>
            <w:pPr>
              <w:pStyle w:val="Compact"/>
            </w:pPr>
          </w:p>
        </w:tc>
        <w:tc>
          <w:tcPr/>
          <w:p>
            <w:pPr>
              <w:pStyle w:val="Compact"/>
            </w:pPr>
          </w:p>
        </w:tc>
      </w:tr>
      <w:tr>
        <w:tc>
          <w:tcPr/>
          <w:p>
            <w:pPr>
              <w:pStyle w:val="Compact"/>
              <w:jc w:val="left"/>
            </w:pPr>
            <w:r>
              <w:t xml:space="preserve">RWE Infrastructure Management (Legacy Field Monitoring)</w:t>
            </w:r>
          </w:p>
        </w:tc>
        <w:tc>
          <w:tcPr/>
          <w:p>
            <w:pPr>
              <w:pStyle w:val="Compact"/>
              <w:jc w:val="left"/>
            </w:pPr>
            <w:r>
              <w:t xml:space="preserve">€980K</w:t>
            </w:r>
          </w:p>
        </w:tc>
        <w:tc>
          <w:tcPr/>
          <w:p>
            <w:pPr>
              <w:pStyle w:val="Compact"/>
            </w:pPr>
          </w:p>
        </w:tc>
        <w:tc>
          <w:tcPr/>
          <w:p>
            <w:pPr>
              <w:pStyle w:val="Compact"/>
            </w:pPr>
          </w:p>
        </w:tc>
        <w:tc>
          <w:tcPr/>
          <w:p>
            <w:pPr>
              <w:pStyle w:val="Compact"/>
            </w:pPr>
          </w:p>
        </w:tc>
      </w:tr>
    </w:tbl>
    <w:bookmarkEnd w:id="22"/>
    <w:bookmarkStart w:id="26" w:name="X79067240d689dcacbd624ba0ff92208bbf37f1a"/>
    <w:p>
      <w:pPr>
        <w:pStyle w:val="Heading2"/>
      </w:pPr>
      <w:r>
        <w:t xml:space="preserve">IV. Strategic Alignment: Why Berlin Demands Petroleum Engineer Expertise</w:t>
      </w:r>
    </w:p>
    <w:p>
      <w:pPr>
        <w:pStyle w:val="FirstParagraph"/>
      </w:pPr>
      <w:r>
        <w:t xml:space="preserve">Berlin’s market demand for</w:t>
      </w:r>
      <w:r>
        <w:t xml:space="preserve"> </w:t>
      </w:r>
      <w:r>
        <w:rPr>
          <w:bCs/>
          <w:b/>
        </w:rPr>
        <w:t xml:space="preserve">Petroleum Engineer</w:t>
      </w:r>
      <w:r>
        <w:t xml:space="preserve"> </w:t>
      </w:r>
      <w:r>
        <w:t xml:space="preserve">services stems from three structural factors:</w:t>
      </w:r>
    </w:p>
    <w:bookmarkStart w:id="23" w:name="X8db06f1943770b0476fb2971a7580f5c43c2291"/>
    <w:p>
      <w:pPr>
        <w:pStyle w:val="Heading3"/>
      </w:pPr>
      <w:r>
        <w:t xml:space="preserve">A. Policy-Driven Infrastructure Investment</w:t>
      </w:r>
    </w:p>
    <w:p>
      <w:pPr>
        <w:pStyle w:val="FirstParagraph"/>
      </w:pPr>
      <w:r>
        <w:t xml:space="preserve">The German government’s "National Hydrogen Strategy" (2021) and "Energy Industry Law" (EnWG) mandate 50% of gas infrastructure to be hydrogen-ready by 2035. This creates immediate need for engineers who understand hydrocarbon flow dynamics, corrosion science, and pipeline integrity—core</w:t>
      </w:r>
      <w:r>
        <w:t xml:space="preserve"> </w:t>
      </w:r>
      <w:r>
        <w:rPr>
          <w:bCs/>
          <w:b/>
        </w:rPr>
        <w:t xml:space="preserve">Petroleum Engineer</w:t>
      </w:r>
      <w:r>
        <w:t xml:space="preserve"> </w:t>
      </w:r>
      <w:r>
        <w:t xml:space="preserve">competencies repurposed for clean energy. Our Berlin sales team secured Siemens Energy’s €1.2M contract by demonstrating how petroleum engineering principles enabled rapid hydrogen pipeline retrofitting.</w:t>
      </w:r>
    </w:p>
    <w:bookmarkEnd w:id="23"/>
    <w:bookmarkStart w:id="24" w:name="X132656e45a5beea7a6f085e14883712cd0f4e86"/>
    <w:p>
      <w:pPr>
        <w:pStyle w:val="Heading3"/>
      </w:pPr>
      <w:r>
        <w:t xml:space="preserve">B. Talent Concentration &amp; Innovation Ecosystem</w:t>
      </w:r>
    </w:p>
    <w:p>
      <w:pPr>
        <w:pStyle w:val="FirstParagraph"/>
      </w:pPr>
      <w:r>
        <w:t xml:space="preserve">Berlin hosts 42% of Germany’s energy-sector R&amp;D talent (BMBF, 2023), including the renowned Berlin Institute of Technology’s Petroleum Engineering Division. We partnered with TU Berlin to co-develop "Hydrogen-Ready Pipeline Certification" training—directly addressing a skills gap identified by 87% of our Berlin enterprise clients. This positioned us as an industry educator, not just a vendor.</w:t>
      </w:r>
    </w:p>
    <w:bookmarkEnd w:id="24"/>
    <w:bookmarkStart w:id="25" w:name="c.-germanys-critical-supply-chain-role"/>
    <w:p>
      <w:pPr>
        <w:pStyle w:val="Heading3"/>
      </w:pPr>
      <w:r>
        <w:t xml:space="preserve">C. Germany’s Critical Supply Chain Role</w:t>
      </w:r>
    </w:p>
    <w:p>
      <w:pPr>
        <w:pStyle w:val="FirstParagraph"/>
      </w:pPr>
      <w:r>
        <w:t xml:space="preserve">As Europe’s largest consumer of oil (12M barrels/day), Germany relies on Berlin-based logistics firms to optimize imports through terminals like Wilhelmshaven. Our Petroleum Engineer consultants reduced cargo handling delays by 28% for a major Berlin shipping consortium through AI-driven reservoir modeling adapted for terminal operations—a unique value proposition leveraging core engineering skills in non-traditional settings.</w:t>
      </w:r>
    </w:p>
    <w:bookmarkEnd w:id="25"/>
    <w:bookmarkEnd w:id="26"/>
    <w:bookmarkStart w:id="27" w:name="X4a078538f4626979ede7a861110821abad7c8a1"/>
    <w:p>
      <w:pPr>
        <w:pStyle w:val="Heading2"/>
      </w:pPr>
      <w:r>
        <w:t xml:space="preserve">V. Customer Testimonials: The Berlin Value Proposition</w:t>
      </w:r>
    </w:p>
    <w:p>
      <w:pPr>
        <w:pStyle w:val="FirstParagraph"/>
      </w:pPr>
      <w:r>
        <w:rPr>
          <w:iCs/>
          <w:i/>
        </w:rPr>
        <w:t xml:space="preserve">"EnergiTech’s Petroleum Engineer team didn’t just understand our LNG pipeline needs—they translated decades of hydrocarbon knowledge into hydrogen infrastructure readiness. This wasn’t a sales pitch; it was strategic partnership."</w:t>
      </w:r>
      <w:r>
        <w:br/>
      </w:r>
      <w:r>
        <w:rPr>
          <w:bCs/>
          <w:b/>
        </w:rPr>
        <w:t xml:space="preserve">— Lena Vogel, Head of Infrastructure, Siemens Energy Berlin</w:t>
      </w:r>
    </w:p>
    <w:p>
      <w:pPr>
        <w:pStyle w:val="BodyText"/>
      </w:pPr>
      <w:r>
        <w:rPr>
          <w:iCs/>
          <w:i/>
        </w:rPr>
        <w:t xml:space="preserve">"In Berlin’s energy transition market, we need engineers who can bridge oil &amp; gas legacy systems with green tech. EnergiTech delivered that uniquely."</w:t>
      </w:r>
      <w:r>
        <w:br/>
      </w:r>
      <w:r>
        <w:rPr>
          <w:bCs/>
          <w:b/>
        </w:rPr>
        <w:t xml:space="preserve">— Dr. Markus Schmidt, CTO, Berlin-Brandenburg Innovation Cluster</w:t>
      </w:r>
    </w:p>
    <w:bookmarkEnd w:id="27"/>
    <w:bookmarkStart w:id="28" w:name="X71c06eb52076813473c0c3ac993673f26479aa3"/>
    <w:p>
      <w:pPr>
        <w:pStyle w:val="Heading2"/>
      </w:pPr>
      <w:r>
        <w:t xml:space="preserve">VI. Future Outlook: Petroleum Engineering in Germany’s 2030 Energy Vision</w:t>
      </w:r>
    </w:p>
    <w:p>
      <w:pPr>
        <w:pStyle w:val="FirstParagraph"/>
      </w:pPr>
      <w:r>
        <w:t xml:space="preserve">Germany’s goal to be climate-neutral by 2045 hinges on scalable engineering solutions where</w:t>
      </w:r>
      <w:r>
        <w:t xml:space="preserve"> </w:t>
      </w:r>
      <w:r>
        <w:rPr>
          <w:bCs/>
          <w:b/>
        </w:rPr>
        <w:t xml:space="preserve">Petroleum Engineer</w:t>
      </w:r>
      <w:r>
        <w:t xml:space="preserve"> </w:t>
      </w:r>
      <w:r>
        <w:t xml:space="preserve">skills remain irreplaceable. Our Berlin sales pipeline shows 37% growth in CCUS and hydrogen projects for Q4 2023. Critical opportunities include:</w:t>
      </w:r>
    </w:p>
    <w:p>
      <w:pPr>
        <w:numPr>
          <w:ilvl w:val="0"/>
          <w:numId w:val="1002"/>
        </w:numPr>
        <w:pStyle w:val="Compact"/>
      </w:pPr>
      <w:r>
        <w:rPr>
          <w:iCs/>
          <w:i/>
        </w:rPr>
        <w:t xml:space="preserve">EU Hydrogen Backbone Expansion</w:t>
      </w:r>
      <w:r>
        <w:t xml:space="preserve">: Germany leads this €5B initiative requiring pipeline integrity engineers.</w:t>
      </w:r>
    </w:p>
    <w:p>
      <w:pPr>
        <w:numPr>
          <w:ilvl w:val="0"/>
          <w:numId w:val="1002"/>
        </w:numPr>
        <w:pStyle w:val="Compact"/>
      </w:pPr>
      <w:r>
        <w:rPr>
          <w:iCs/>
          <w:i/>
        </w:rPr>
        <w:t xml:space="preserve">Carbon Management Hubs</w:t>
      </w:r>
      <w:r>
        <w:t xml:space="preserve">: Berlin’s new Carbon Storage Cluster (launched July 2023) needs petroleum engineering talent for site characterization.</w:t>
      </w:r>
    </w:p>
    <w:p>
      <w:pPr>
        <w:numPr>
          <w:ilvl w:val="0"/>
          <w:numId w:val="1002"/>
        </w:numPr>
        <w:pStyle w:val="Compact"/>
      </w:pPr>
      <w:r>
        <w:rPr>
          <w:iCs/>
          <w:i/>
        </w:rPr>
        <w:t xml:space="preserve">Global Project Support</w:t>
      </w:r>
      <w:r>
        <w:t xml:space="preserve">: German engineering firms are bidding on $1.8B oil field projects in West Africa—requiring Berlin-based Petroleum Engineer coordination teams.</w:t>
      </w:r>
    </w:p>
    <w:bookmarkEnd w:id="28"/>
    <w:bookmarkStart w:id="29" w:name="X974e7579dce7ac2e059c47712b2a6aab2e08dff"/>
    <w:p>
      <w:pPr>
        <w:pStyle w:val="Heading2"/>
      </w:pPr>
      <w:r>
        <w:t xml:space="preserve">VII. Conclusion &amp; Strategic Recommendations</w:t>
      </w:r>
    </w:p>
    <w:p>
      <w:pPr>
        <w:pStyle w:val="FirstParagraph"/>
      </w:pPr>
      <w:r>
        <w:t xml:space="preserve">The Berlin market has unequivocally validated that</w:t>
      </w:r>
      <w:r>
        <w:t xml:space="preserve"> </w:t>
      </w:r>
      <w:r>
        <w:rPr>
          <w:bCs/>
          <w:b/>
        </w:rPr>
        <w:t xml:space="preserve">Petroleum Engineer</w:t>
      </w:r>
      <w:r>
        <w:t xml:space="preserve"> </w:t>
      </w:r>
      <w:r>
        <w:t xml:space="preserve">expertise is not about fossil fuels—it’s about engineering for energy security in transition. Our sales performance (18% growth) proves that positioning petroleum engineering as a catalyst for Germany’s climate goals, rather than a relic of the past, unlocks significant value in Berlin and beyond. We recommend:</w:t>
      </w:r>
    </w:p>
    <w:p>
      <w:pPr>
        <w:numPr>
          <w:ilvl w:val="0"/>
          <w:numId w:val="1003"/>
        </w:numPr>
        <w:pStyle w:val="Compact"/>
      </w:pPr>
      <w:r>
        <w:rPr>
          <w:bCs/>
          <w:b/>
        </w:rPr>
        <w:t xml:space="preserve">Double down on Berlin R&amp;D partnerships</w:t>
      </w:r>
      <w:r>
        <w:t xml:space="preserve">: Co-invest €500K with TU Berlin in "Green Hydrocarbon Systems" lab.</w:t>
      </w:r>
    </w:p>
    <w:p>
      <w:pPr>
        <w:numPr>
          <w:ilvl w:val="0"/>
          <w:numId w:val="1003"/>
        </w:numPr>
        <w:pStyle w:val="Compact"/>
      </w:pPr>
      <w:r>
        <w:rPr>
          <w:bCs/>
          <w:b/>
        </w:rPr>
        <w:t xml:space="preserve">Launch a dedicated "Berlin Energy Transition Sales Unit"</w:t>
      </w:r>
      <w:r>
        <w:t xml:space="preserve"> </w:t>
      </w:r>
      <w:r>
        <w:t xml:space="preserve">to serve policy-driven infrastructure projects.</w:t>
      </w:r>
    </w:p>
    <w:p>
      <w:pPr>
        <w:numPr>
          <w:ilvl w:val="0"/>
          <w:numId w:val="1003"/>
        </w:numPr>
        <w:pStyle w:val="Compact"/>
      </w:pPr>
      <w:r>
        <w:rPr>
          <w:bCs/>
          <w:b/>
        </w:rPr>
        <w:t xml:space="preserve">Develop German-specific certification</w:t>
      </w:r>
      <w:r>
        <w:t xml:space="preserve"> </w:t>
      </w:r>
      <w:r>
        <w:t xml:space="preserve">for Petroleum Engineers in CCUS and hydrogen integration (aligning with BMWK standards).</w:t>
      </w:r>
    </w:p>
    <w:p>
      <w:pPr>
        <w:pStyle w:val="FirstParagraph"/>
      </w:pPr>
      <w:r>
        <w:t xml:space="preserve">In Germany Berlin, where energy strategy is written, petroleum engineering has evolved from a sector into a strategic capability. This report confirms that our Sales Report must reflect this transformation—not as an endpoint, but as the foundation for Germany’s energy future.</w:t>
      </w:r>
    </w:p>
    <w:bookmarkEnd w:id="29"/>
    <w:bookmarkStart w:id="30" w:name="viii.-appendices"/>
    <w:p>
      <w:pPr>
        <w:pStyle w:val="Heading2"/>
      </w:pPr>
      <w:r>
        <w:t xml:space="preserve">VIII. Appendices</w:t>
      </w:r>
    </w:p>
    <w:p>
      <w:pPr>
        <w:numPr>
          <w:ilvl w:val="0"/>
          <w:numId w:val="1004"/>
        </w:numPr>
        <w:pStyle w:val="Compact"/>
      </w:pPr>
      <w:r>
        <w:t xml:space="preserve">Appendix A: Berlin Energy Policy Timeline (2021-2030)</w:t>
      </w:r>
    </w:p>
    <w:p>
      <w:pPr>
        <w:numPr>
          <w:ilvl w:val="0"/>
          <w:numId w:val="1004"/>
        </w:numPr>
        <w:pStyle w:val="Compact"/>
      </w:pPr>
      <w:r>
        <w:t xml:space="preserve">Appendix B: Client ROI Analysis (Siemens Energy Case Study)</w:t>
      </w:r>
    </w:p>
    <w:p>
      <w:pPr>
        <w:numPr>
          <w:ilvl w:val="0"/>
          <w:numId w:val="1004"/>
        </w:numPr>
        <w:pStyle w:val="Compact"/>
      </w:pPr>
      <w:r>
        <w:t xml:space="preserve">Appendix C: Market Share Data for Engineering Services in Berlin</w:t>
      </w:r>
    </w:p>
    <w:p>
      <w:pPr>
        <w:pStyle w:val="FirstParagraph"/>
      </w:pPr>
      <w:r>
        <w:rPr>
          <w:bCs/>
          <w:b/>
        </w:rPr>
        <w:t xml:space="preserve">Prepared By:</w:t>
      </w:r>
      <w:r>
        <w:t xml:space="preserve"> </w:t>
      </w:r>
      <w:r>
        <w:t xml:space="preserve">EnergiTech Solutions GmbH Sales Strategy Division</w:t>
      </w:r>
      <w:r>
        <w:br/>
      </w:r>
      <w:r>
        <w:rPr>
          <w:bCs/>
          <w:b/>
        </w:rPr>
        <w:t xml:space="preserve">Contact:</w:t>
      </w:r>
      <w:r>
        <w:t xml:space="preserve"> </w:t>
      </w:r>
      <w:r>
        <w:t xml:space="preserve">sales@energitech-berlin.de | +49 30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Germany Berlin Market</dc:title>
  <dc:creator/>
  <cp:keywords/>
  <dcterms:created xsi:type="dcterms:W3CDTF">2026-07-20T05:15:12Z</dcterms:created>
  <dcterms:modified xsi:type="dcterms:W3CDTF">2026-07-20T05:15:12Z</dcterms:modified>
</cp:coreProperties>
</file>

<file path=docProps/custom.xml><?xml version="1.0" encoding="utf-8"?>
<Properties xmlns="http://schemas.openxmlformats.org/officeDocument/2006/custom-properties" xmlns:vt="http://schemas.openxmlformats.org/officeDocument/2006/docPropsVTypes"/>
</file>