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Frankfurt</w:t>
      </w:r>
      <w:r>
        <w:t xml:space="preserve"> </w:t>
      </w:r>
      <w:r>
        <w:t xml:space="preserve">Market</w:t>
      </w:r>
    </w:p>
    <w:bookmarkStart w:id="27" w:name="X2d11ac8d6a1627176ceeba8ef4e37fd6f3be058"/>
    <w:p>
      <w:pPr>
        <w:pStyle w:val="Heading1"/>
      </w:pPr>
      <w:r>
        <w:t xml:space="preserve">Sales Report: Petroleum Engineering Services Demand and Performance Analysis in Germany Frankfurt (Q3 2023)</w:t>
      </w:r>
    </w:p>
    <w:p>
      <w:pPr>
        <w:pStyle w:val="FirstParagraph"/>
      </w:pPr>
      <w:r>
        <w:rPr>
          <w:bCs/>
          <w:b/>
        </w:rPr>
        <w:t xml:space="preserve">Prepared For:</w:t>
      </w:r>
      <w:r>
        <w:t xml:space="preserve"> </w:t>
      </w:r>
      <w:r>
        <w:t xml:space="preserve">Executive Leadership, Global Energy Solutions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and strategic outlook for Petroleum Engineering services within Germany's Frankfurt market. Frankfurt serves as a critical European hub for energy sector operations, hosting major international oil &amp; gas corporations, financial institutions focused on energy investments, and key infrastructure networks. The analysis confirms robust demand for specialized Petroleum Engineer expertise across upstream exploration, production optimization, and transition-focused projects in the Rhein-Main region. Sales growth of 12.7% quarter-over-quarter underscores Frankfurt’s strategic importance as a gateway for petroleum engineering solutions in Germany and Western Europe.</w:t>
      </w:r>
    </w:p>
    <w:bookmarkEnd w:id="20"/>
    <w:bookmarkStart w:id="21" w:name="X4ae12be7bceeff7a34916dd524e953b5d3988c3"/>
    <w:p>
      <w:pPr>
        <w:pStyle w:val="Heading2"/>
      </w:pPr>
      <w:r>
        <w:t xml:space="preserve">Market Context: Petroleum Engineering Demand in Germany Frankfurt</w:t>
      </w:r>
    </w:p>
    <w:p>
      <w:pPr>
        <w:pStyle w:val="FirstParagraph"/>
      </w:pPr>
      <w:r>
        <w:t xml:space="preserve">Frankfurt’s unique position as Germany’s financial capital and central logistics hub creates an exceptional environment for energy sector commercial activity. The presence of Shell, TotalEnergies, Wintershall Dea, and numerous international service companies (e.g., Schlumberger, Baker Hughes) operating regional headquarters in Frankfurt drives consistent demand for high-caliber Petroleum Engineer professionals. Unlike traditional sales roles focused on product distribution, this report examines the commercial performance of engineering services—where skilled Petroleum Engineers deliver technical solutions that directly influence client contracts and revenue streams.</w:t>
      </w:r>
    </w:p>
    <w:p>
      <w:pPr>
        <w:pStyle w:val="BodyText"/>
      </w:pPr>
      <w:r>
        <w:t xml:space="preserve">Germany’s ongoing energy transition policy (Energiewende) has reshaped demand, creating nuanced opportunities: While conventional oil &amp; gas projects face scrutiny, there is accelerated need for Petroleum Engineers specializing in enhanced oil recovery (EOR), carbon capture utilization and storage (CCUS), and hydrogen infrastructure integration. Frankfurt-based clients actively seek these capabilities to meet EU regulatory targets while maximizing existing asset value. The city’s proximity to the Dutch Groningen gas field and key pipeline networks further amplifies its strategic relevance for petroleum engineering service providers.</w:t>
      </w:r>
    </w:p>
    <w:bookmarkEnd w:id="21"/>
    <w:bookmarkStart w:id="22" w:name="sales-performance-highlights-q3-2023"/>
    <w:p>
      <w:pPr>
        <w:pStyle w:val="Heading2"/>
      </w:pPr>
      <w:r>
        <w:t xml:space="preserve">Sales Performance Highlights: Q3 2023</w:t>
      </w:r>
    </w:p>
    <w:p>
      <w:pPr>
        <w:pStyle w:val="FirstParagraph"/>
      </w:pPr>
      <w:r>
        <w:t xml:space="preserve">Our Frankfurt-based Engineering Solutions team achieved a record quarterly sales volume of €4.8M, representing a 15% increase from Q2 2023 and a 19% year-over-year growth. This success is directly attributed to the strategic deployment of expert Petroleum Engineer personnel who deliver technically credible proposals aligned with client-specific challenges in the German market.</w:t>
      </w:r>
    </w:p>
    <w:p>
      <w:pPr>
        <w:numPr>
          <w:ilvl w:val="0"/>
          <w:numId w:val="1001"/>
        </w:numPr>
        <w:pStyle w:val="Compact"/>
      </w:pPr>
      <w:r>
        <w:rPr>
          <w:bCs/>
          <w:b/>
        </w:rPr>
        <w:t xml:space="preserve">Key Growth Areas:</w:t>
      </w:r>
    </w:p>
    <w:p>
      <w:pPr>
        <w:numPr>
          <w:ilvl w:val="1"/>
          <w:numId w:val="1002"/>
        </w:numPr>
        <w:pStyle w:val="Compact"/>
      </w:pPr>
      <w:r>
        <w:rPr>
          <w:iCs/>
          <w:i/>
        </w:rPr>
        <w:t xml:space="preserve">Asset Optimization Projects</w:t>
      </w:r>
      <w:r>
        <w:t xml:space="preserve">: +22% YoY (Driven by aging North Sea field management)</w:t>
      </w:r>
    </w:p>
    <w:p>
      <w:pPr>
        <w:numPr>
          <w:ilvl w:val="1"/>
          <w:numId w:val="1002"/>
        </w:numPr>
        <w:pStyle w:val="Compact"/>
      </w:pPr>
      <w:r>
        <w:rPr>
          <w:iCs/>
          <w:i/>
        </w:rPr>
        <w:t xml:space="preserve">CCUS Integration Services</w:t>
      </w:r>
      <w:r>
        <w:t xml:space="preserve">: +35% QoQ (Response to Germany’s 2030 climate targets)</w:t>
      </w:r>
    </w:p>
    <w:p>
      <w:pPr>
        <w:numPr>
          <w:ilvl w:val="1"/>
          <w:numId w:val="1002"/>
        </w:numPr>
        <w:pStyle w:val="Compact"/>
      </w:pPr>
      <w:r>
        <w:rPr>
          <w:iCs/>
          <w:i/>
        </w:rPr>
        <w:t xml:space="preserve">Safety &amp; Compliance Audits</w:t>
      </w:r>
      <w:r>
        <w:t xml:space="preserve">: +18% (Mandated by updated German Mineral Resources Act)</w:t>
      </w:r>
    </w:p>
    <w:p>
      <w:pPr>
        <w:numPr>
          <w:ilvl w:val="0"/>
          <w:numId w:val="1001"/>
        </w:numPr>
        <w:pStyle w:val="Compact"/>
      </w:pPr>
      <w:r>
        <w:rPr>
          <w:bCs/>
          <w:b/>
        </w:rPr>
        <w:t xml:space="preserve">Client Acquisition:</w:t>
      </w:r>
      <w:r>
        <w:t xml:space="preserve"> </w:t>
      </w:r>
      <w:r>
        <w:t xml:space="preserve">Secured 4 new major contracts with Frankfurt-based energy firms, including a €1.2M multi-year agreement for EOR optimization at an offshore field operated by Wintershall Dea.</w:t>
      </w:r>
    </w:p>
    <w:p>
      <w:pPr>
        <w:numPr>
          <w:ilvl w:val="0"/>
          <w:numId w:val="1001"/>
        </w:numPr>
        <w:pStyle w:val="Compact"/>
      </w:pPr>
      <w:r>
        <w:rPr>
          <w:bCs/>
          <w:b/>
        </w:rPr>
        <w:t xml:space="preserve">Team Impact:</w:t>
      </w:r>
      <w:r>
        <w:t xml:space="preserve"> </w:t>
      </w:r>
      <w:r>
        <w:t xml:space="preserve">Our Petroleum Engineer staff contributed directly to 87% of won proposals this quarter through technical differentiation and deep local market knowledge.</w:t>
      </w:r>
    </w:p>
    <w:bookmarkEnd w:id="22"/>
    <w:bookmarkStart w:id="23" w:name="Xa34d578aed16254e4b5948af1f4afaa0a04cbc3"/>
    <w:p>
      <w:pPr>
        <w:pStyle w:val="Heading2"/>
      </w:pPr>
      <w:r>
        <w:t xml:space="preserve">Strategic Insights: Why Frankfurt is Central to Petroleum Engineering Sales Success</w:t>
      </w:r>
    </w:p>
    <w:p>
      <w:pPr>
        <w:pStyle w:val="FirstParagraph"/>
      </w:pPr>
      <w:r>
        <w:t xml:space="preserve">The German petroleum engineering market demands more than standard technical skills; it requires professionals who understand Frankfurt’s unique commercial ecosystem. Our sales data reveals three critical factors:</w:t>
      </w:r>
    </w:p>
    <w:p>
      <w:pPr>
        <w:numPr>
          <w:ilvl w:val="0"/>
          <w:numId w:val="1003"/>
        </w:numPr>
        <w:pStyle w:val="Compact"/>
      </w:pPr>
      <w:r>
        <w:rPr>
          <w:bCs/>
          <w:b/>
        </w:rPr>
        <w:t xml:space="preserve">Regulatory Fluency:</w:t>
      </w:r>
      <w:r>
        <w:t xml:space="preserve"> </w:t>
      </w:r>
      <w:r>
        <w:t xml:space="preserve">Frankfurt-based Petroleum Engineers must navigate complex German and EU regulations (e.g., BImSchG, CO2-ETS). Sales teams leveraging this expertise close contracts 30% faster than competitors.</w:t>
      </w:r>
    </w:p>
    <w:p>
      <w:pPr>
        <w:numPr>
          <w:ilvl w:val="0"/>
          <w:numId w:val="1003"/>
        </w:numPr>
        <w:pStyle w:val="Compact"/>
      </w:pPr>
      <w:r>
        <w:rPr>
          <w:bCs/>
          <w:b/>
        </w:rPr>
        <w:t xml:space="preserve">Cross-Sector Synergy:</w:t>
      </w:r>
      <w:r>
        <w:t xml:space="preserve"> </w:t>
      </w:r>
      <w:r>
        <w:t xml:space="preserve">Frankfurt’s concentration of energy finance firms (e.g., Deutsche Bank Energy Group) enables Petroleum Engineer-led proposals to integrate technical and financial modeling—appealing directly to client investment committees.</w:t>
      </w:r>
    </w:p>
    <w:p>
      <w:pPr>
        <w:numPr>
          <w:ilvl w:val="0"/>
          <w:numId w:val="1003"/>
        </w:numPr>
        <w:pStyle w:val="Compact"/>
      </w:pPr>
      <w:r>
        <w:rPr>
          <w:bCs/>
          <w:b/>
        </w:rPr>
        <w:t xml:space="preserve">Talent Pipeline Advantage:</w:t>
      </w:r>
      <w:r>
        <w:t xml:space="preserve"> </w:t>
      </w:r>
      <w:r>
        <w:t xml:space="preserve">Proximity to top universities like Goethe University Frankfurt and Technical University Darmstadt ensures a steady influx of qualified Petroleum Engineers, reducing sales cycle time for critical projects.</w:t>
      </w:r>
    </w:p>
    <w:bookmarkEnd w:id="23"/>
    <w:bookmarkStart w:id="24" w:name="challenges-competitive-landscape"/>
    <w:p>
      <w:pPr>
        <w:pStyle w:val="Heading2"/>
      </w:pPr>
      <w:r>
        <w:t xml:space="preserve">Challenges &amp; Competitive Landscape</w:t>
      </w:r>
    </w:p>
    <w:p>
      <w:pPr>
        <w:pStyle w:val="FirstParagraph"/>
      </w:pPr>
      <w:r>
        <w:t xml:space="preserve">The primary challenge remains the evolving regulatory environment. Germany’s push toward renewable energy has increased competition for engineering talent from green hydrogen and carbon management sectors. However, our Frankfurt operations counter this by positioning Petroleum Engineers as indispensable for the *transition phase*—managing legacy assets while building new low-carbon infrastructure.</w:t>
      </w:r>
    </w:p>
    <w:p>
      <w:pPr>
        <w:pStyle w:val="BodyText"/>
      </w:pPr>
      <w:r>
        <w:t xml:space="preserve">Key competitors (e.g., local firm MEG Engineering) have reduced sales through aggressive pricing on basic service contracts. Our differentiated approach—emphasizing certified Petroleum Engineer credentials and Frankfurt-specific project success stories—has allowed us to maintain average contract values 23% above the market benchmark in Q3.</w:t>
      </w:r>
    </w:p>
    <w:bookmarkEnd w:id="24"/>
    <w:bookmarkStart w:id="25" w:name="X4df5aacedfa6b7238e0902d14a7a188145ca3dd"/>
    <w:p>
      <w:pPr>
        <w:pStyle w:val="Heading2"/>
      </w:pPr>
      <w:r>
        <w:t xml:space="preserve">Recommendations: Strengthening Sales Strategy for Germany Frankfurt</w:t>
      </w:r>
    </w:p>
    <w:p>
      <w:pPr>
        <w:pStyle w:val="FirstParagraph"/>
      </w:pPr>
      <w:r>
        <w:t xml:space="preserve">To sustain growth, we recommend:</w:t>
      </w:r>
    </w:p>
    <w:p>
      <w:pPr>
        <w:numPr>
          <w:ilvl w:val="0"/>
          <w:numId w:val="1004"/>
        </w:numPr>
        <w:pStyle w:val="Compact"/>
      </w:pPr>
      <w:r>
        <w:rPr>
          <w:bCs/>
          <w:b/>
        </w:rPr>
        <w:t xml:space="preserve">Invest in Localized Technical Training:</w:t>
      </w:r>
      <w:r>
        <w:t xml:space="preserve"> </w:t>
      </w:r>
      <w:r>
        <w:t xml:space="preserve">Develop a Frankfurt-specific curriculum for Petroleum Engineers covering German regulatory frameworks (e.g., BGR guidelines) and regional geology (North German Basin).</w:t>
      </w:r>
    </w:p>
    <w:p>
      <w:pPr>
        <w:numPr>
          <w:ilvl w:val="0"/>
          <w:numId w:val="1004"/>
        </w:numPr>
        <w:pStyle w:val="Compact"/>
      </w:pPr>
      <w:r>
        <w:rPr>
          <w:bCs/>
          <w:b/>
        </w:rPr>
        <w:t xml:space="preserve">Expand CCUS Sales Enablement:</w:t>
      </w:r>
      <w:r>
        <w:t xml:space="preserve"> </w:t>
      </w:r>
      <w:r>
        <w:t xml:space="preserve">Create dedicated sales teams with Petroleum Engineer expertise in carbon management to target Germany’s €10B+ national CCUS funding initiatives.</w:t>
      </w:r>
    </w:p>
    <w:p>
      <w:pPr>
        <w:numPr>
          <w:ilvl w:val="0"/>
          <w:numId w:val="1004"/>
        </w:numPr>
        <w:pStyle w:val="Compact"/>
      </w:pPr>
      <w:r>
        <w:rPr>
          <w:bCs/>
          <w:b/>
        </w:rPr>
        <w:t xml:space="preserve">Leverage Frankfurt’s Financial Ecosystem:</w:t>
      </w:r>
      <w:r>
        <w:t xml:space="preserve"> </w:t>
      </w:r>
      <w:r>
        <w:t xml:space="preserve">Partner with energy-focused financial institutions for co-branded client workshops on "Technical Risk Mitigation in Energy Transition Projects."</w:t>
      </w:r>
    </w:p>
    <w:p>
      <w:pPr>
        <w:numPr>
          <w:ilvl w:val="0"/>
          <w:numId w:val="1004"/>
        </w:numPr>
        <w:pStyle w:val="Compact"/>
      </w:pPr>
      <w:r>
        <w:rPr>
          <w:bCs/>
          <w:b/>
        </w:rPr>
        <w:t xml:space="preserve">Enhance Digital Sales Tools:</w:t>
      </w:r>
      <w:r>
        <w:t xml:space="preserve"> </w:t>
      </w:r>
      <w:r>
        <w:t xml:space="preserve">Build a German-language online portal showcasing Petroleum Engineer project case studies from the Frankfurt market (e.g., "Optimizing Production at Hainich Field, Thuringia").</w:t>
      </w:r>
    </w:p>
    <w:bookmarkEnd w:id="25"/>
    <w:bookmarkStart w:id="26" w:name="Xc15375c93fab5508f788cfdda287284466ec183"/>
    <w:p>
      <w:pPr>
        <w:pStyle w:val="Heading2"/>
      </w:pPr>
      <w:r>
        <w:t xml:space="preserve">Conclusion: Petroleum Engineers as Strategic Sales Drivers in Germany Frankfurt</w:t>
      </w:r>
    </w:p>
    <w:p>
      <w:pPr>
        <w:pStyle w:val="FirstParagraph"/>
      </w:pPr>
      <w:r>
        <w:t xml:space="preserve">This Sales Report conclusively demonstrates that in the Germany Frankfurt energy market, the expertise of a qualified Petroleum Engineer is not merely technical support—it is the cornerstone of commercial success. The city’s role as Europe’s energy capital demands sophisticated engineering solutions delivered by professionals who understand both technical complexities and local business dynamics. Our Q3 results prove that sales teams empowered with deep Petroleum Engineer knowledge achieve higher win rates, larger contracts, and stronger client retention in this high-value market.</w:t>
      </w:r>
    </w:p>
    <w:p>
      <w:pPr>
        <w:pStyle w:val="BodyText"/>
      </w:pPr>
      <w:r>
        <w:t xml:space="preserve">As Germany accelerates its energy transition, the demand for Petroleum Engineers who can bridge legacy oil &amp; gas infrastructure with sustainable innovation will only intensify. Frankfurt’s strategic position as the nerve center for this transformation makes it imperative that our global sales strategy prioritizes Petroleum Engineer capability development and localization within this market. The data is clear: Investing in Petroleum Engineering talent is the most effective sales investment we can make for sustained growth in Germany and beyond.</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Germany Frankfurt Market</dc:title>
  <dc:creator/>
  <dc:language>en</dc:language>
  <cp:keywords/>
  <dcterms:created xsi:type="dcterms:W3CDTF">2025-12-11T08:39:19Z</dcterms:created>
  <dcterms:modified xsi:type="dcterms:W3CDTF">2025-12-11T08:39:19Z</dcterms:modified>
</cp:coreProperties>
</file>

<file path=docProps/custom.xml><?xml version="1.0" encoding="utf-8"?>
<Properties xmlns="http://schemas.openxmlformats.org/officeDocument/2006/custom-properties" xmlns:vt="http://schemas.openxmlformats.org/officeDocument/2006/docPropsVTypes"/>
</file>