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8f841ffa60b8cd612b0cbd692fe069bf5601501"/>
    <w:p>
      <w:pPr>
        <w:pStyle w:val="Heading1"/>
      </w:pPr>
      <w:r>
        <w:t xml:space="preserve">Sales Report: Petroleum Engineer Service Performance Analysis for Russia Saint Petersburg Market</w:t>
      </w:r>
    </w:p>
    <w:p>
      <w:pPr>
        <w:pStyle w:val="FirstParagraph"/>
      </w:pPr>
      <w:r>
        <w:t xml:space="preserve">This comprehensive Sales Report details the current market performance, strategic opportunities, and growth trajectory of Petroleum Engineer services within the critical energy landscape of Russia Saint Petersburg. As a pivotal hub for Northern Energy Projects and Arctic resource development, Saint Petersburg represents one of the most strategically significant regions for petroleum engineering services in Russia. This report synthesizes Q3 2023 sales data, market trends, client feedback, and actionable insights to guide future business development initiatives.</w:t>
      </w:r>
    </w:p>
    <w:bookmarkStart w:id="20" w:name="X9f35a91b6c1780b2d61f5e58751def22e57e274"/>
    <w:p>
      <w:pPr>
        <w:pStyle w:val="Heading2"/>
      </w:pPr>
      <w:r>
        <w:t xml:space="preserve">Executive Summary: Petroleum Engineer Market Position in Saint Petersburg</w:t>
      </w:r>
    </w:p>
    <w:p>
      <w:pPr>
        <w:pStyle w:val="FirstParagraph"/>
      </w:pPr>
      <w:r>
        <w:t xml:space="preserve">The Petroleum Engineer service sector within Russia Saint Petersburg has demonstrated robust growth, with quarterly sales increasing by 17.3% compared to Q2 2023. This growth is directly attributed to accelerated offshore exploration projects in the Barents Sea and enhanced oil recovery (EOR) initiatives for aging fields under the Federal Hydrocarbon Strategy 2030. Key clients include Gazprom Neft, Lukoil Saint Petersburg Division, and SIBUR Petrochemicals, collectively driving 68% of our total service revenue in this region. Notably, Saint Petersburg's status as Russia’s second-largest port city provides unparalleled logistical advantages for equipment deployment and technical team mobility across the Volga-Baltic waterway network.</w:t>
      </w:r>
    </w:p>
    <w:bookmarkEnd w:id="20"/>
    <w:bookmarkStart w:id="21" w:name="Xefd6822c981472223cdd8dfbee3ecc2bf657cb2"/>
    <w:p>
      <w:pPr>
        <w:pStyle w:val="Heading2"/>
      </w:pPr>
      <w:r>
        <w:t xml:space="preserve">Market Analysis: Demand Drivers in Russia Saint Petersburg</w:t>
      </w:r>
    </w:p>
    <w:p>
      <w:pPr>
        <w:pStyle w:val="FirstParagraph"/>
      </w:pPr>
      <w:r>
        <w:t xml:space="preserve">The demand for specialized Petroleum Engineer expertise in Russia Saint Petersburg is fueled by three primary factors:</w:t>
      </w:r>
    </w:p>
    <w:p>
      <w:pPr>
        <w:numPr>
          <w:ilvl w:val="0"/>
          <w:numId w:val="1001"/>
        </w:numPr>
        <w:pStyle w:val="Compact"/>
      </w:pPr>
      <w:r>
        <w:rPr>
          <w:bCs/>
          <w:b/>
        </w:rPr>
        <w:t xml:space="preserve">Arctic Development Acceleration:</w:t>
      </w:r>
      <w:r>
        <w:t xml:space="preserve"> </w:t>
      </w:r>
      <w:r>
        <w:t xml:space="preserve">With 14 new offshore license blocks auctioned in the Barents Sea (Q1-Q3 2023), demand for Arctic-qualified Petroleum Engineers surged by 42%. Saint Petersburg serves as the operational headquarters for most Russian Arctic projects, necessitating engineers with ice-class platform experience and permafrost reservoir knowledge.</w:t>
      </w:r>
    </w:p>
    <w:p>
      <w:pPr>
        <w:numPr>
          <w:ilvl w:val="0"/>
          <w:numId w:val="1001"/>
        </w:numPr>
        <w:pStyle w:val="Compact"/>
      </w:pPr>
      <w:r>
        <w:rPr>
          <w:bCs/>
          <w:b/>
        </w:rPr>
        <w:t xml:space="preserve">Legacy Field Optimization:</w:t>
      </w:r>
      <w:r>
        <w:t xml:space="preserve"> </w:t>
      </w:r>
      <w:r>
        <w:t xml:space="preserve">Aging fields in Western Siberia (operated through Saint Petersburg-based subsidiaries like Surgutneftegaz) require advanced Petroleum Engineer solutions for secondary recovery. Our EOR consultancy services generated $18.7M in sales within the Saint Petersburg region last quarter alone.</w:t>
      </w:r>
    </w:p>
    <w:p>
      <w:pPr>
        <w:numPr>
          <w:ilvl w:val="0"/>
          <w:numId w:val="1001"/>
        </w:numPr>
        <w:pStyle w:val="Compact"/>
      </w:pPr>
      <w:r>
        <w:rPr>
          <w:bCs/>
          <w:b/>
        </w:rPr>
        <w:t xml:space="preserve">Regulatory Compliance Shifts:</w:t>
      </w:r>
      <w:r>
        <w:t xml:space="preserve"> </w:t>
      </w:r>
      <w:r>
        <w:t xml:space="preserve">New Rosnedra regulations mandating enhanced reservoir monitoring have created a 30% increase in demand for Petroleum Engineers certified in Russian Environmental Standards (GOST R) and seismic interpretation software (e.g., Petrel, Techlog).</w:t>
      </w:r>
    </w:p>
    <w:bookmarkEnd w:id="21"/>
    <w:bookmarkStart w:id="22" w:name="X16e66a9649b48578600c132ddf4b4a4cded8f26"/>
    <w:p>
      <w:pPr>
        <w:pStyle w:val="Heading2"/>
      </w:pPr>
      <w:r>
        <w:t xml:space="preserve">Sales Performance Breakdown: Key Metrics for Russia Saint Petersburg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(RUB)</w:t>
            </w:r>
          </w:p>
        </w:tc>
        <w:tc>
          <w:tcPr/>
          <w:p>
            <w:pPr>
              <w:pStyle w:val="Compact"/>
              <w:jc w:val="left"/>
            </w:pPr>
            <w:r>
              <w:t xml:space="preserve">% YoY Growth</w:t>
            </w:r>
          </w:p>
        </w:tc>
        <w:tc>
          <w:tcPr/>
          <w:p>
            <w:pPr>
              <w:pStyle w:val="Compact"/>
              <w:jc w:val="left"/>
            </w:pPr>
            <w:r>
              <w:t xml:space="preserve">Top Client Projects</w:t>
            </w:r>
          </w:p>
        </w:tc>
      </w:tr>
      <w:tr>
        <w:tc>
          <w:tcPr/>
          <w:p>
            <w:pPr>
              <w:pStyle w:val="Compact"/>
              <w:jc w:val="left"/>
            </w:pPr>
            <w:r>
              <w:t xml:space="preserve">Reservoir Engineering Consultancy</w:t>
            </w:r>
          </w:p>
        </w:tc>
        <w:tc>
          <w:tcPr/>
          <w:p>
            <w:pPr>
              <w:pStyle w:val="Compact"/>
              <w:jc w:val="left"/>
            </w:pPr>
            <w:r>
              <w:t xml:space="preserve">98,500,000</w:t>
            </w:r>
          </w:p>
        </w:tc>
        <w:tc>
          <w:tcPr/>
          <w:p>
            <w:pPr>
              <w:pStyle w:val="Compact"/>
              <w:jc w:val="left"/>
            </w:pPr>
            <w:r>
              <w:t xml:space="preserve">24.7%</w:t>
            </w:r>
          </w:p>
        </w:tc>
        <w:tc>
          <w:tcPr/>
          <w:p>
            <w:pPr>
              <w:pStyle w:val="Compact"/>
              <w:jc w:val="left"/>
            </w:pPr>
            <w:r>
              <w:t xml:space="preserve">Gazprom Neft "Pechora Deep" Field Optimization</w:t>
            </w:r>
          </w:p>
        </w:tc>
      </w:tr>
      <w:tr>
        <w:tc>
          <w:tcPr/>
          <w:p>
            <w:pPr>
              <w:pStyle w:val="Compact"/>
              <w:jc w:val="left"/>
            </w:pPr>
            <w:r>
              <w:t xml:space="preserve">Arcctic Drilling Support</w:t>
            </w:r>
          </w:p>
        </w:tc>
        <w:tc>
          <w:tcPr/>
          <w:p>
            <w:pPr>
              <w:pStyle w:val="Compact"/>
              <w:jc w:val="left"/>
            </w:pPr>
            <w:r>
              <w:t xml:space="preserve">63,200,000</w:t>
            </w:r>
          </w:p>
        </w:tc>
        <w:tc>
          <w:tcPr/>
          <w:p>
            <w:pPr>
              <w:pStyle w:val="Compact"/>
              <w:jc w:val="left"/>
            </w:pPr>
            <w:r>
              <w:t xml:space="preserve">58.3%</w:t>
            </w:r>
          </w:p>
        </w:tc>
        <w:tc>
          <w:tcPr/>
          <w:p>
            <w:pPr>
              <w:pStyle w:val="Compact"/>
              <w:jc w:val="left"/>
            </w:pPr>
            <w:r>
              <w:t xml:space="preserve">Lukoil "Northern Lights" Offshore Platform Design</w:t>
            </w:r>
          </w:p>
        </w:tc>
      </w:tr>
      <w:tr>
        <w:tc>
          <w:tcPr/>
          <w:p>
            <w:pPr>
              <w:pStyle w:val="Compact"/>
              <w:jc w:val="left"/>
            </w:pPr>
            <w:r>
              <w:t xml:space="preserve">Well Integrity &amp; Safety Management</w:t>
            </w:r>
          </w:p>
        </w:tc>
        <w:tc>
          <w:tcPr/>
          <w:p>
            <w:pPr>
              <w:pStyle w:val="Compact"/>
              <w:jc w:val="left"/>
            </w:pPr>
            <w:r>
              <w:t xml:space="preserve">47,900,000</w:t>
            </w:r>
          </w:p>
        </w:tc>
        <w:tc>
          <w:tcPr/>
          <w:p>
            <w:pPr>
              <w:pStyle w:val="Compact"/>
              <w:jc w:val="left"/>
            </w:pPr>
            <w:r>
              <w:t xml:space="preserve">15.2%</w:t>
            </w:r>
          </w:p>
        </w:tc>
        <w:tc>
          <w:tcPr/>
          <w:p>
            <w:pPr>
              <w:pStyle w:val="Compact"/>
              <w:jc w:val="left"/>
            </w:pPr>
            <w:r>
              <w:t xml:space="preserve">SIBUR Petrochemicals "Saint Petersburg Refinery 3.0"</w:t>
            </w:r>
          </w:p>
        </w:tc>
      </w:tr>
      <w:tr>
        <w:tc>
          <w:tcPr/>
          <w:p>
            <w:pPr>
              <w:pStyle w:val="Compact"/>
              <w:jc w:val="left"/>
            </w:pPr>
            <w:r>
              <w:t xml:space="preserve">Data Analytics &amp; Digital Twin Implementation</w:t>
            </w:r>
          </w:p>
        </w:tc>
        <w:tc>
          <w:tcPr/>
          <w:p>
            <w:pPr>
              <w:pStyle w:val="Compact"/>
              <w:jc w:val="left"/>
            </w:pPr>
            <w:r>
              <w:t xml:space="preserve">36,400,000</w:t>
            </w:r>
          </w:p>
        </w:tc>
        <w:tc>
          <w:tcPr/>
          <w:p>
            <w:pPr>
              <w:pStyle w:val="Compact"/>
              <w:jc w:val="left"/>
            </w:pPr>
            <w:r>
              <w:t xml:space="preserve">72.1%</w:t>
            </w:r>
          </w:p>
        </w:tc>
        <w:tc>
          <w:tcPr/>
          <w:p>
            <w:pPr>
              <w:pStyle w:val="Compact"/>
              <w:jc w:val="left"/>
            </w:pPr>
            <w:r>
              <w:t xml:space="preserve">Rosneft "Petrograd Digital Hub" Project</w:t>
            </w:r>
          </w:p>
        </w:tc>
      </w:tr>
    </w:tbl>
    <w:p>
      <w:pPr>
        <w:pStyle w:val="BodyText"/>
      </w:pPr>
      <w:r>
        <w:t xml:space="preserve">Notably, our Saint Petersburg office achieved a 92% client retention rate in Q3 2023, significantly above the industry average of 81%. This success is directly linked to our specialization in Russian regulatory frameworks and localized technical solutions. For instance, our Petroleum Engineer team deployed custom reservoir simulation models compliant with the "Russian Oil Production Code" for the Gazprom Neft project, reducing forecast errors by 37%.</w:t>
      </w:r>
    </w:p>
    <w:bookmarkEnd w:id="22"/>
    <w:bookmarkStart w:id="23" w:name="Xf28cae2c40c8aa63d5b6b53bee9a452c4e4b9e0"/>
    <w:p>
      <w:pPr>
        <w:pStyle w:val="Heading2"/>
      </w:pPr>
      <w:r>
        <w:t xml:space="preserve">Competitive Landscape: Positioning Against Local Players</w:t>
      </w:r>
    </w:p>
    <w:p>
      <w:pPr>
        <w:pStyle w:val="FirstParagraph"/>
      </w:pPr>
      <w:r>
        <w:t xml:space="preserve">While international firms (e.g., Schlumberger, Baker Hughes) maintain presence in Russia Saint Petersburg, they face challenges with local regulatory navigation and language barriers. Our distinct advantage lies in the bilingual Petroleum Engineer workforce—98% of our technical staff hold fluency in Russian and English—and deep integration with Saint Petersburg’s energy ecosystem. Key competitive differentiators include:</w:t>
      </w:r>
    </w:p>
    <w:p>
      <w:pPr>
        <w:numPr>
          <w:ilvl w:val="0"/>
          <w:numId w:val="1002"/>
        </w:numPr>
        <w:pStyle w:val="Compact"/>
      </w:pPr>
      <w:r>
        <w:t xml:space="preserve">Proximity to St. Petersburg’s Energy Innovation Cluster (hosted at ITMO University) for rapid R&amp;D collaboration</w:t>
      </w:r>
    </w:p>
    <w:p>
      <w:pPr>
        <w:numPr>
          <w:ilvl w:val="0"/>
          <w:numId w:val="1002"/>
        </w:numPr>
        <w:pStyle w:val="Compact"/>
      </w:pPr>
      <w:r>
        <w:t xml:space="preserve">Exclusive partnerships with the Saint Petersburg Energy Institute for certified training programs</w:t>
      </w:r>
    </w:p>
    <w:p>
      <w:pPr>
        <w:numPr>
          <w:ilvl w:val="0"/>
          <w:numId w:val="1002"/>
        </w:numPr>
        <w:pStyle w:val="Compact"/>
      </w:pPr>
      <w:r>
        <w:t xml:space="preserve">Specialized equipment logistics through the Port of Kronstadt (operational 24/7 for petroleum engineering gear)</w:t>
      </w:r>
    </w:p>
    <w:bookmarkEnd w:id="23"/>
    <w:bookmarkStart w:id="24" w:name="challenges-strategic-recommendations"/>
    <w:p>
      <w:pPr>
        <w:pStyle w:val="Heading2"/>
      </w:pPr>
      <w:r>
        <w:t xml:space="preserve">Challenges &amp; Strategic Recommendations</w:t>
      </w:r>
    </w:p>
    <w:p>
      <w:pPr>
        <w:pStyle w:val="FirstParagraph"/>
      </w:pPr>
      <w:r>
        <w:t xml:space="preserve">The Russia Saint Petersburg market faces three critical challenges requiring immediate action:</w:t>
      </w:r>
    </w:p>
    <w:p>
      <w:pPr>
        <w:numPr>
          <w:ilvl w:val="0"/>
          <w:numId w:val="1003"/>
        </w:numPr>
        <w:pStyle w:val="Compact"/>
      </w:pPr>
      <w:r>
        <w:rPr>
          <w:bCs/>
          <w:b/>
        </w:rPr>
        <w:t xml:space="preserve">Talent Shortage:</w:t>
      </w:r>
      <w:r>
        <w:t xml:space="preserve"> </w:t>
      </w:r>
      <w:r>
        <w:t xml:space="preserve">A 68% vacancy rate exists for senior Petroleum Engineers with Arctic project experience. *Recommendation: Launch a targeted recruitment campaign through St. Petersburg State University of Technology, offering accelerated certification in GOST R standards.</w:t>
      </w:r>
    </w:p>
    <w:p>
      <w:pPr>
        <w:numPr>
          <w:ilvl w:val="0"/>
          <w:numId w:val="1003"/>
        </w:numPr>
        <w:pStyle w:val="Compact"/>
      </w:pPr>
      <w:r>
        <w:rPr>
          <w:bCs/>
          <w:b/>
        </w:rPr>
        <w:t xml:space="preserve">Supply Chain Disruptions:</w:t>
      </w:r>
      <w:r>
        <w:t xml:space="preserve"> </w:t>
      </w:r>
      <w:r>
        <w:t xml:space="preserve">Import restrictions on specialized sensors impact drilling operations. *Recommendation: Establish local partnerships with Saint Petersburg-based manufacturers (e.g., Krasnoyarsk Engineering) for indigenous sensor production.</w:t>
      </w:r>
    </w:p>
    <w:p>
      <w:pPr>
        <w:numPr>
          <w:ilvl w:val="0"/>
          <w:numId w:val="1003"/>
        </w:numPr>
        <w:pStyle w:val="Compact"/>
      </w:pPr>
      <w:r>
        <w:rPr>
          <w:bCs/>
          <w:b/>
        </w:rPr>
        <w:t xml:space="preserve">Regulatory Complexity:</w:t>
      </w:r>
      <w:r>
        <w:t xml:space="preserve"> </w:t>
      </w:r>
      <w:r>
        <w:t xml:space="preserve">Evolving Rosnedra data reporting requirements cause client delays. *Recommendation: Develop an automated compliance toolkit integrated with Russia’s "Oil &amp; Gas Portal" platform.</w:t>
      </w:r>
    </w:p>
    <w:bookmarkEnd w:id="24"/>
    <w:bookmarkStart w:id="25" w:name="Xe71c7b50ea0500565bb390e938016f2cac9ab5f"/>
    <w:p>
      <w:pPr>
        <w:pStyle w:val="Heading2"/>
      </w:pPr>
      <w:r>
        <w:t xml:space="preserve">Conclusion: Strategic Imperative for Petroleum Engineer Expansion</w:t>
      </w:r>
    </w:p>
    <w:p>
      <w:pPr>
        <w:pStyle w:val="FirstParagraph"/>
      </w:pPr>
      <w:r>
        <w:t xml:space="preserve">This Sales Report unequivocally confirms Saint Petersburg as the strategic epicenter for petroleum engineering growth in Russia. The convergence of Arctic development momentum, legacy field optimization needs, and digital transformation initiatives creates a $1.8B service opportunity within our immediate geographic footprint. We project 29% revenue growth for Petroleum Engineer services in Russia Saint Petersburg through Q4 2023, driven by three major contracts currently under negotiation with Gazprom Neft and Novatek.</w:t>
      </w:r>
    </w:p>
    <w:p>
      <w:pPr>
        <w:pStyle w:val="BodyText"/>
      </w:pPr>
      <w:r>
        <w:t xml:space="preserve">As we enter the new fiscal year, the imperative is clear: double down on local talent development, deepen partnerships within Saint Petersburg’s energy cluster, and innovate service delivery to align with Russia’s strategic focus on Arctic resource extraction. The Petroleum Engineer services market in Russia Saint Petersburg is not merely growing—it is becoming the critical nerve center for Russia’s future hydrocarbon success. Our continued leadership here directly enables national energy security objectives while delivering exceptional shareholder value.</w:t>
      </w:r>
    </w:p>
    <w:p>
      <w:pPr>
        <w:pStyle w:val="BodyText"/>
      </w:pPr>
      <w:r>
        <w:rPr>
          <w:bCs/>
          <w:b/>
        </w:rPr>
        <w:t xml:space="preserve">Prepared by:</w:t>
      </w:r>
      <w:r>
        <w:t xml:space="preserve"> </w:t>
      </w:r>
      <w:r>
        <w:t xml:space="preserve">Global Energy Solutions, St. Petersburg Division</w:t>
      </w:r>
    </w:p>
    <w:p>
      <w:pPr>
        <w:pStyle w:val="BodyText"/>
      </w:pP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Petroleum Engineer Services in Russia Saint Petersburg</dc:title>
  <dc:creator/>
  <dc:language>en</dc:language>
  <cp:keywords/>
  <dcterms:created xsi:type="dcterms:W3CDTF">2026-07-24T06:10:58Z</dcterms:created>
  <dcterms:modified xsi:type="dcterms:W3CDTF">2026-07-24T06:10:58Z</dcterms:modified>
</cp:coreProperties>
</file>

<file path=docProps/custom.xml><?xml version="1.0" encoding="utf-8"?>
<Properties xmlns="http://schemas.openxmlformats.org/officeDocument/2006/custom-properties" xmlns:vt="http://schemas.openxmlformats.org/officeDocument/2006/docPropsVTypes"/>
</file>