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Istanbul</w:t>
      </w:r>
      <w:r>
        <w:t xml:space="preserve"> </w:t>
      </w:r>
      <w:r>
        <w:t xml:space="preserve">Market</w:t>
      </w:r>
    </w:p>
    <w:bookmarkStart w:id="27" w:name="X5d4e890ae3b7d3b6e2381caac93db5044caac15"/>
    <w:p>
      <w:pPr>
        <w:pStyle w:val="Heading1"/>
      </w:pPr>
      <w:r>
        <w:t xml:space="preserve">Annual Sales Performance Report: Petroleum Engineering Services in Istanbul, Turkey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Energy Solutions (GES) - Istanbul Operations</w:t>
      </w:r>
      <w:r>
        <w:br/>
      </w:r>
      <w:r>
        <w:rPr>
          <w:bCs/>
          <w:b/>
        </w:rPr>
        <w:t xml:space="preserve">Subject:</w:t>
      </w:r>
      <w:r>
        <w:t xml:space="preserve"> </w:t>
      </w:r>
      <w:r>
        <w:t xml:space="preserve">Sales Performance Analysis and Strategic Outlook for Petroleum Engineering Services</w:t>
      </w:r>
    </w:p>
    <w:bookmarkStart w:id="20" w:name="i.-executive-summary"/>
    <w:p>
      <w:pPr>
        <w:pStyle w:val="Heading2"/>
      </w:pPr>
      <w:r>
        <w:t xml:space="preserve">I. Executive Summary</w:t>
      </w:r>
    </w:p>
    <w:p>
      <w:pPr>
        <w:pStyle w:val="FirstParagraph"/>
      </w:pPr>
      <w:r>
        <w:t xml:space="preserve">The 2023 fiscal year has marked a period of significant growth and strategic advancement for Global Energy Solutions (GES) in the Turkish petroleum engineering market, with Istanbul serving as our central operational hub. This report details how our specialized Petroleum Engineer services directly contributed to a 17% year-over-year increase in sales revenue, reaching $4.8 million USD. Crucially, this success was driven by tailored engineering solutions addressing Turkey's unique energy landscape, particularly in the Black Sea exploration sector and aging field rehabilitation projects across Istanbul's surrounding hydrocarbon basins.</w:t>
      </w:r>
    </w:p>
    <w:bookmarkEnd w:id="20"/>
    <w:bookmarkStart w:id="21" w:name="Xd999b133d330729442ef5ddac9549f1f100f29a"/>
    <w:p>
      <w:pPr>
        <w:pStyle w:val="Heading2"/>
      </w:pPr>
      <w:r>
        <w:t xml:space="preserve">II. Market Context: Petroleum Engineering Demand in Istanbul</w:t>
      </w:r>
    </w:p>
    <w:p>
      <w:pPr>
        <w:pStyle w:val="FirstParagraph"/>
      </w:pPr>
      <w:r>
        <w:t xml:space="preserve">Turkey Istanbul is not merely a location for our operations; it is the epicenter of strategic decision-making for Turkey's energy sector. The Turkish government's 2035 Energy Strategy emphasizes domestic resource development, with the Black Sea Continental Shelf (particularly near Sinop and Kocaeli) identified as critical. This creates an acute demand for highly skilled Petroleum Engineers capable of navigating complex marine environments, regulatory frameworks, and the specific geology of the Eastern Mediterranean. Our Istanbul office leveraged this market pulse by positioning our team as indispensable partners for both international majors (e.g., TotalEnergies, Shell) and Turkish national firms (e.g., TPAO, Petrol Ofisi). The demand for Petroleum Engineer expertise in reservoir modeling, drilling optimization, and enhanced oil recovery (EOR) techniques surged by 22% year-on-year within the Istanbul region alone.</w:t>
      </w:r>
    </w:p>
    <w:bookmarkEnd w:id="21"/>
    <w:bookmarkStart w:id="22" w:name="Xbe4fcbe312f89e6c678159ba864b971012c29ca"/>
    <w:p>
      <w:pPr>
        <w:pStyle w:val="Heading2"/>
      </w:pPr>
      <w:r>
        <w:t xml:space="preserve">III. Sales Performance Breakdown: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Segment</w:t>
            </w:r>
          </w:p>
        </w:tc>
        <w:tc>
          <w:tcPr/>
          <w:p>
            <w:pPr>
              <w:pStyle w:val="Compact"/>
              <w:jc w:val="left"/>
            </w:pPr>
            <w:r>
              <w:t xml:space="preserve">Revenue (USD)</w:t>
            </w:r>
          </w:p>
        </w:tc>
        <w:tc>
          <w:tcPr/>
          <w:p>
            <w:pPr>
              <w:pStyle w:val="Compact"/>
              <w:jc w:val="left"/>
            </w:pPr>
            <w:r>
              <w:t xml:space="preserve">% of Total Revenue</w:t>
            </w:r>
          </w:p>
        </w:tc>
        <w:tc>
          <w:tcPr/>
          <w:p>
            <w:pPr>
              <w:pStyle w:val="Compact"/>
              <w:jc w:val="left"/>
            </w:pPr>
            <w:r>
              <w:t xml:space="preserve">YoY Growth</w:t>
            </w:r>
          </w:p>
        </w:tc>
      </w:tr>
      <w:tr>
        <w:tc>
          <w:tcPr/>
          <w:p>
            <w:pPr>
              <w:pStyle w:val="Compact"/>
              <w:jc w:val="left"/>
            </w:pPr>
            <w:r>
              <w:t xml:space="preserve">Reservoir Engineering Consultancy (Black Sea Projects)</w:t>
            </w:r>
          </w:p>
        </w:tc>
        <w:tc>
          <w:tcPr/>
          <w:p>
            <w:pPr>
              <w:pStyle w:val="Compact"/>
              <w:jc w:val="left"/>
            </w:pPr>
            <w:r>
              <w:t xml:space="preserve">$1,850,000</w:t>
            </w:r>
          </w:p>
        </w:tc>
        <w:tc>
          <w:tcPr/>
          <w:p>
            <w:pPr>
              <w:pStyle w:val="Compact"/>
              <w:jc w:val="left"/>
            </w:pPr>
            <w:r>
              <w:t xml:space="preserve">38.5%</w:t>
            </w:r>
          </w:p>
        </w:tc>
        <w:tc>
          <w:tcPr/>
          <w:p>
            <w:pPr>
              <w:pStyle w:val="Compact"/>
              <w:jc w:val="left"/>
            </w:pPr>
            <w:r>
              <w:t xml:space="preserve">+24.7%</w:t>
            </w:r>
          </w:p>
        </w:tc>
      </w:tr>
      <w:tr>
        <w:tc>
          <w:tcPr/>
          <w:p>
            <w:pPr>
              <w:pStyle w:val="Compact"/>
              <w:jc w:val="left"/>
            </w:pPr>
            <w:r>
              <w:t xml:space="preserve">Drilling &amp; Completion Optimization Services</w:t>
            </w:r>
          </w:p>
        </w:tc>
        <w:tc>
          <w:tcPr/>
          <w:p>
            <w:pPr>
              <w:pStyle w:val="Compact"/>
              <w:jc w:val="left"/>
            </w:pPr>
            <w:r>
              <w:t xml:space="preserve">$1,425,000</w:t>
            </w:r>
          </w:p>
        </w:tc>
        <w:tc>
          <w:tcPr/>
          <w:p>
            <w:pPr>
              <w:pStyle w:val="Compact"/>
              <w:jc w:val="left"/>
            </w:pPr>
            <w:r>
              <w:t xml:space="preserve">29.7%</w:t>
            </w:r>
          </w:p>
        </w:tc>
        <w:tc>
          <w:tcPr/>
          <w:p>
            <w:pPr>
              <w:pStyle w:val="Compact"/>
              <w:jc w:val="left"/>
            </w:pPr>
            <w:r>
              <w:t xml:space="preserve">+18.3%</w:t>
            </w:r>
          </w:p>
        </w:tc>
      </w:tr>
      <w:tr>
        <w:tc>
          <w:tcPr/>
          <w:p>
            <w:pPr>
              <w:pStyle w:val="Compact"/>
              <w:jc w:val="left"/>
            </w:pPr>
            <w:r>
              <w:t xml:space="preserve">Aging Field Rehabilitation (Istanbul Region)</w:t>
            </w:r>
          </w:p>
        </w:tc>
        <w:tc>
          <w:tcPr/>
          <w:p>
            <w:pPr>
              <w:pStyle w:val="Compact"/>
              <w:jc w:val="left"/>
            </w:pPr>
            <w:r>
              <w:t xml:space="preserve">$975,000</w:t>
            </w:r>
          </w:p>
        </w:tc>
        <w:tc>
          <w:tcPr/>
          <w:p>
            <w:pPr>
              <w:pStyle w:val="Compact"/>
              <w:jc w:val="left"/>
            </w:pPr>
            <w:r>
              <w:t xml:space="preserve">20.3%</w:t>
            </w:r>
          </w:p>
        </w:tc>
        <w:tc>
          <w:tcPr/>
          <w:p>
            <w:pPr>
              <w:pStyle w:val="Compact"/>
              <w:jc w:val="left"/>
            </w:pPr>
            <w:r>
              <w:t xml:space="preserve">+12.1%</w:t>
            </w:r>
          </w:p>
        </w:tc>
      </w:tr>
      <w:tr>
        <w:tc>
          <w:tcPr/>
          <w:p>
            <w:pPr>
              <w:pStyle w:val="Compact"/>
              <w:jc w:val="left"/>
            </w:pPr>
            <w:r>
              <w:t xml:space="preserve">Technology &amp; Software Implementation (E&amp;P Suite)</w:t>
            </w:r>
          </w:p>
        </w:tc>
        <w:tc>
          <w:tcPr/>
          <w:p>
            <w:pPr>
              <w:pStyle w:val="Compact"/>
              <w:jc w:val="left"/>
            </w:pPr>
            <w:r>
              <w:t xml:space="preserve">$550,000</w:t>
            </w:r>
          </w:p>
        </w:tc>
        <w:tc>
          <w:tcPr/>
          <w:p>
            <w:pPr>
              <w:pStyle w:val="Compact"/>
              <w:jc w:val="left"/>
            </w:pPr>
            <w:r>
              <w:t xml:space="preserve">11.5%</w:t>
            </w:r>
          </w:p>
        </w:tc>
        <w:tc>
          <w:tcPr/>
          <w:p>
            <w:pPr>
              <w:pStyle w:val="Compact"/>
              <w:jc w:val="left"/>
            </w:pPr>
            <w:r>
              <w:t xml:space="preserve">+37.8%</w:t>
            </w:r>
          </w:p>
        </w:tc>
      </w:tr>
    </w:tbl>
    <w:p>
      <w:pPr>
        <w:pStyle w:val="BodyText"/>
      </w:pPr>
      <w:r>
        <w:rPr>
          <w:bCs/>
          <w:b/>
        </w:rPr>
        <w:t xml:space="preserve">Key Insight:</w:t>
      </w:r>
      <w:r>
        <w:t xml:space="preserve"> </w:t>
      </w:r>
      <w:r>
        <w:t xml:space="preserve">The 24.7% growth in Black Sea Reservoir Engineering directly correlates with the recent TPAO Sinop field appraisal success, where our Istanbul-based Petroleum Engineers provided critical reservoir simulation and uncertainty analysis that reduced risk assessment time by 30%. This project exemplifies how our local presence in Istanbul enables rapid response to client needs and deep understanding of regional challenges.</w:t>
      </w:r>
    </w:p>
    <w:bookmarkEnd w:id="22"/>
    <w:bookmarkStart w:id="23" w:name="Xc6a301a3f83fb7f8f953ff2498c8a1ef6bbe683"/>
    <w:p>
      <w:pPr>
        <w:pStyle w:val="Heading2"/>
      </w:pPr>
      <w:r>
        <w:t xml:space="preserve">IV. The Role of the Petroleum Engineer: Driving Sales Success</w:t>
      </w:r>
    </w:p>
    <w:p>
      <w:pPr>
        <w:pStyle w:val="FirstParagraph"/>
      </w:pPr>
      <w:r>
        <w:t xml:space="preserve">The core differentiator for GES sales in Turkey Istanbul is not just the *service*, but the *expertise* of our Petroleum Engineers. Our sales team consistently emphasizes:</w:t>
      </w:r>
    </w:p>
    <w:p>
      <w:pPr>
        <w:numPr>
          <w:ilvl w:val="0"/>
          <w:numId w:val="1001"/>
        </w:numPr>
        <w:pStyle w:val="Compact"/>
      </w:pPr>
      <w:r>
        <w:rPr>
          <w:bCs/>
          <w:b/>
        </w:rPr>
        <w:t xml:space="preserve">Local Expertise:</w:t>
      </w:r>
      <w:r>
        <w:t xml:space="preserve"> </w:t>
      </w:r>
      <w:r>
        <w:t xml:space="preserve">Understanding Istanbul's complex regulatory environment (e.g., Turkish Energy Market Regulatory Authority - EMRA), cultural nuances, and specific geological formations like the Kırşehir Basin.</w:t>
      </w:r>
    </w:p>
    <w:p>
      <w:pPr>
        <w:numPr>
          <w:ilvl w:val="0"/>
          <w:numId w:val="1001"/>
        </w:numPr>
        <w:pStyle w:val="Compact"/>
      </w:pPr>
      <w:r>
        <w:rPr>
          <w:bCs/>
          <w:b/>
        </w:rPr>
        <w:t xml:space="preserve">Solution-Oriented Approach:</w:t>
      </w:r>
      <w:r>
        <w:t xml:space="preserve"> </w:t>
      </w:r>
      <w:r>
        <w:t xml:space="preserve">Moving beyond standard reports to deliver actionable workflows. For example, our Petroleum Engineers developed a tailored waterflood optimization model for an aging field near Izmit (Istanbul Province), increasing projected recovery by 8% and securing a $350k contract.</w:t>
      </w:r>
    </w:p>
    <w:p>
      <w:pPr>
        <w:numPr>
          <w:ilvl w:val="0"/>
          <w:numId w:val="1001"/>
        </w:numPr>
        <w:pStyle w:val="Compact"/>
      </w:pPr>
      <w:r>
        <w:rPr>
          <w:bCs/>
          <w:b/>
        </w:rPr>
        <w:t xml:space="preserve">Turkish Language &amp; Collaboration:</w:t>
      </w:r>
      <w:r>
        <w:t xml:space="preserve"> </w:t>
      </w:r>
      <w:r>
        <w:t xml:space="preserve">All key Petroleum Engineers in Istanbul possess fluent Turkish, enabling seamless communication with TPAO teams and local contractors, reducing misunderstandings that often plague international projects.</w:t>
      </w:r>
    </w:p>
    <w:bookmarkEnd w:id="23"/>
    <w:bookmarkStart w:id="24" w:name="X925819078e5916fde05874e445a2cb655221cd1"/>
    <w:p>
      <w:pPr>
        <w:pStyle w:val="Heading2"/>
      </w:pPr>
      <w:r>
        <w:t xml:space="preserve">V. Client Success Story: Black Sea Gas Field Development</w:t>
      </w:r>
    </w:p>
    <w:p>
      <w:pPr>
        <w:pStyle w:val="FirstParagraph"/>
      </w:pPr>
      <w:r>
        <w:t xml:space="preserve">A pivotal sales win in Q3 2023 involved a major international consortium targeting a prospective gas field 100km off Istanbul's coast. The client required rapid reservoir characterization within a tight regulatory deadline for exploration licensing. Our Istanbul Petroleum Engineer team, embedded within the client’s project management office, delivered:</w:t>
      </w:r>
    </w:p>
    <w:p>
      <w:pPr>
        <w:numPr>
          <w:ilvl w:val="0"/>
          <w:numId w:val="1002"/>
        </w:numPr>
        <w:pStyle w:val="Compact"/>
      </w:pPr>
      <w:r>
        <w:t xml:space="preserve">A comprehensive dynamic reservoir model using proprietary local data.</w:t>
      </w:r>
    </w:p>
    <w:p>
      <w:pPr>
        <w:numPr>
          <w:ilvl w:val="0"/>
          <w:numId w:val="1002"/>
        </w:numPr>
        <w:pStyle w:val="Compact"/>
      </w:pPr>
      <w:r>
        <w:t xml:space="preserve">Customized drilling trajectory recommendations optimizing well placement across complex fault structures common in the Black Sea.</w:t>
      </w:r>
    </w:p>
    <w:p>
      <w:pPr>
        <w:numPr>
          <w:ilvl w:val="0"/>
          <w:numId w:val="1002"/>
        </w:numPr>
        <w:pStyle w:val="Compact"/>
      </w:pPr>
      <w:r>
        <w:t xml:space="preserve">Integration of EMRA compliance requirements into the engineering deliverables from day one.</w:t>
      </w:r>
    </w:p>
    <w:p>
      <w:pPr>
        <w:pStyle w:val="FirstParagraph"/>
      </w:pPr>
      <w:r>
        <w:t xml:space="preserve">This project generated $1.2 million in revenue and resulted in a 3-year extension contract for ongoing production optimization services – a direct outcome of trust built through our Istanbul-based Petroleum Engineer's local knowledge and responsiveness. The client specifically cited "the seamless understanding of Turkish regulatory pathways and the immediate availability of engineers fluent in Turkish" as decisive factors.</w:t>
      </w:r>
    </w:p>
    <w:bookmarkEnd w:id="24"/>
    <w:bookmarkStart w:id="25" w:name="vi.-challenges-strategic-focus-for-2024"/>
    <w:p>
      <w:pPr>
        <w:pStyle w:val="Heading2"/>
      </w:pPr>
      <w:r>
        <w:t xml:space="preserve">VI. Challenges &amp; Strategic Focus for 2024</w:t>
      </w:r>
    </w:p>
    <w:p>
      <w:pPr>
        <w:pStyle w:val="FirstParagraph"/>
      </w:pPr>
      <w:r>
        <w:t xml:space="preserve">While demand is high, challenges persist: Geopolitical sensitivities around Black Sea operations, competition from local engineering firms with lower rates (though often lacking international standards), and the need for continuous upskilling in digital oilfield technologies. Our 2024 strategy focuses on:</w:t>
      </w:r>
    </w:p>
    <w:p>
      <w:pPr>
        <w:numPr>
          <w:ilvl w:val="0"/>
          <w:numId w:val="1003"/>
        </w:numPr>
        <w:pStyle w:val="Compact"/>
      </w:pPr>
      <w:r>
        <w:rPr>
          <w:bCs/>
          <w:b/>
        </w:rPr>
        <w:t xml:space="preserve">Deepening Istanbul Local Integration:</w:t>
      </w:r>
      <w:r>
        <w:t xml:space="preserve"> </w:t>
      </w:r>
      <w:r>
        <w:t xml:space="preserve">Partnering with Istanbul Technical University (ITU) to develop a specialized Petroleum Engineer training program focused on Turkey-specific challenges.</w:t>
      </w:r>
    </w:p>
    <w:p>
      <w:pPr>
        <w:numPr>
          <w:ilvl w:val="0"/>
          <w:numId w:val="1003"/>
        </w:numPr>
        <w:pStyle w:val="Compact"/>
      </w:pPr>
      <w:r>
        <w:rPr>
          <w:bCs/>
          <w:b/>
        </w:rPr>
        <w:t xml:space="preserve">Expanding Digital Offerings:</w:t>
      </w:r>
      <w:r>
        <w:t xml:space="preserve"> </w:t>
      </w:r>
      <w:r>
        <w:t xml:space="preserve">Launching a cloud-based E&amp;P analytics platform tailored for the Turkish market, directly targeting sales growth in our Technology segment.</w:t>
      </w:r>
    </w:p>
    <w:p>
      <w:pPr>
        <w:numPr>
          <w:ilvl w:val="0"/>
          <w:numId w:val="1003"/>
        </w:numPr>
        <w:pStyle w:val="Compact"/>
      </w:pPr>
      <w:r>
        <w:rPr>
          <w:bCs/>
          <w:b/>
        </w:rPr>
        <w:t xml:space="preserve">Promoting "Turkish Solutions" Brand:</w:t>
      </w:r>
      <w:r>
        <w:t xml:space="preserve"> </w:t>
      </w:r>
      <w:r>
        <w:t xml:space="preserve">Marketing campaigns highlighting how Istanbul-based Petroleum Engineers provide not just service, but locally-adapted value – a key differentiator in Turkey's competitive market.</w:t>
      </w:r>
    </w:p>
    <w:bookmarkEnd w:id="25"/>
    <w:bookmarkStart w:id="26" w:name="vii.-conclusion-the-istanbul-advantage"/>
    <w:p>
      <w:pPr>
        <w:pStyle w:val="Heading2"/>
      </w:pPr>
      <w:r>
        <w:t xml:space="preserve">VII. Conclusion: The Istanbul Advantage</w:t>
      </w:r>
    </w:p>
    <w:p>
      <w:pPr>
        <w:pStyle w:val="FirstParagraph"/>
      </w:pPr>
      <w:r>
        <w:t xml:space="preserve">The 2023 sales performance conclusively demonstrates that for the Petroleum Engineer profession within Turkey, the location of operations is paramount. Our strategic investment in building a highly skilled, locally integrated Petroleum Engineer team based in Istanbul has directly translated into market share gains and premium pricing. The proximity to key stakeholders – from TPAO headquarters to major drilling contractors operating near Istanbul – enables faster response times, deeper relationship building, and an unparalleled understanding of the local energy ecosystem. This is not merely a sales report; it's a testament to how the right Petroleum Engineer talent, strategically located in Turkey Istanbul, drives sustainable revenue growth in one of the world’s most dynamic emerging energy markets. The future for GES hinges on doubling down on this Istanbul-centric model, where our Petroleum Engineers are not just service providers but strategic partners embedded within Turkey's energy transformation.</w:t>
      </w:r>
    </w:p>
    <w:p>
      <w:pPr>
        <w:pStyle w:val="BodyText"/>
      </w:pPr>
      <w:r>
        <w:rPr>
          <w:iCs/>
          <w:i/>
        </w:rPr>
        <w:t xml:space="preserve">Prepared by: Global Energy Solutions (GES) - Istanbul Sales &amp; Business Development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Services in Istanbul Market</dc:title>
  <dc:creator/>
  <dc:language>en</dc:language>
  <cp:keywords/>
  <dcterms:created xsi:type="dcterms:W3CDTF">2026-07-23T05:13:34Z</dcterms:created>
  <dcterms:modified xsi:type="dcterms:W3CDTF">2026-07-23T05:13:34Z</dcterms:modified>
</cp:coreProperties>
</file>

<file path=docProps/custom.xml><?xml version="1.0" encoding="utf-8"?>
<Properties xmlns="http://schemas.openxmlformats.org/officeDocument/2006/custom-properties" xmlns:vt="http://schemas.openxmlformats.org/officeDocument/2006/docPropsVTypes"/>
</file>