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8" w:name="Xe12517cfdc30bd504185c97228da08c2a3cbfbd"/>
    <w:p>
      <w:pPr>
        <w:pStyle w:val="Heading1"/>
      </w:pPr>
      <w:r>
        <w:t xml:space="preserve">Comprehensive Sales Report: Petroleum Engineering Services for Strategic Operations in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Petroecuador International (Venezuela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Petroleum Engineering service portfolio within Venezuela Caracas, highlighting critical growth areas and strategic opportunities in the nation's oil and gas sector. Despite ongoing economic challenges, our specialized engineering solutions have driven a 17% year-over-year increase in contract value, securing key engagements with national entities across Venezuela. The report emphasizes how our</w:t>
      </w:r>
      <w:r>
        <w:t xml:space="preserve"> </w:t>
      </w:r>
      <w:r>
        <w:rPr>
          <w:bCs/>
          <w:b/>
        </w:rPr>
        <w:t xml:space="preserve">Petroleum Engineer</w:t>
      </w:r>
      <w:r>
        <w:t xml:space="preserve"> </w:t>
      </w:r>
      <w:r>
        <w:t xml:space="preserve">teams deliver tangible operational improvements that align with Venezuela Caracas' urgent need for infrastructure revitalization and production optimization. All data reflects localized market conditions specific to the Caracas operational hub, where we maintain our regional headquarters.</w:t>
      </w:r>
    </w:p>
    <w:bookmarkEnd w:id="20"/>
    <w:bookmarkStart w:id="21" w:name="X677417a8e102f3cbb943107af631d63a1e2ecbe"/>
    <w:p>
      <w:pPr>
        <w:pStyle w:val="Heading2"/>
      </w:pPr>
      <w:r>
        <w:t xml:space="preserve">II. Market Context: Venezuela's Oil Sector in Caracas</w:t>
      </w:r>
    </w:p>
    <w:p>
      <w:pPr>
        <w:pStyle w:val="FirstParagraph"/>
      </w:pPr>
      <w:r>
        <w:t xml:space="preserve">Venezuela, home to the world's largest proven oil reserves (303 billion barrels), faces significant production hurdles due to aging infrastructure, sanctions impacts, and operational constraints. As the economic capital and administrative heart of Venezuela, Caracas serves as the strategic nexus for national energy decisions. The Ministry of Oil (Minpet) and PDVSA subsidiaries headquartered here prioritize technical expertise to overcome these challenges. In Q3 2023 alone, Venezuela's crude oil output averaged 705,000 barrels per day (BPD), down from pre-sanction levels but showing stabilization due to targeted engineering interventions. This report demonstrates how our</w:t>
      </w:r>
      <w:r>
        <w:t xml:space="preserve"> </w:t>
      </w:r>
      <w:r>
        <w:rPr>
          <w:bCs/>
          <w:b/>
        </w:rPr>
        <w:t xml:space="preserve">Petroleum Engineer</w:t>
      </w:r>
      <w:r>
        <w:t xml:space="preserve"> </w:t>
      </w:r>
      <w:r>
        <w:t xml:space="preserve">services directly address these systemic bottlenecks in the Caracas decision-making ecosystem.</w:t>
      </w:r>
    </w:p>
    <w:bookmarkEnd w:id="21"/>
    <w:bookmarkStart w:id="22" w:name="Xdedc536c22824b7ddb3228a81e2eeda4d67ea24"/>
    <w:p>
      <w:pPr>
        <w:pStyle w:val="Heading2"/>
      </w:pPr>
      <w:r>
        <w:t xml:space="preserve">III. Sales Performance: Key Metrics (Q3 2023)</w:t>
      </w:r>
    </w:p>
    <w:p>
      <w:pPr>
        <w:pStyle w:val="FirstParagraph"/>
      </w:pPr>
      <w:r>
        <w:t xml:space="preserve">Service Line</w:t>
      </w:r>
    </w:p>
    <w:p>
      <w:pPr>
        <w:pStyle w:val="BodyText"/>
      </w:pPr>
      <w:r>
        <w:t xml:space="preserve">Contract Value (USD)</w:t>
      </w:r>
    </w:p>
    <w:p>
      <w:pPr>
        <w:pStyle w:val="BodyText"/>
      </w:pPr>
      <w:r>
        <w:t xml:space="preserve">% YoY Growth</w:t>
      </w:r>
    </w:p>
    <w:p>
      <w:pPr>
        <w:pStyle w:val="BodyText"/>
      </w:pPr>
      <w:r>
        <w:t xml:space="preserve">Key Client</w:t>
      </w:r>
    </w:p>
    <w:p>
      <w:pPr>
        <w:pStyle w:val="BodyText"/>
      </w:pPr>
      <w:r>
        <w:t xml:space="preserve">Predictive Reservoir Modeling (Caracas-Based)</w:t>
      </w:r>
    </w:p>
    <w:p>
      <w:pPr>
        <w:pStyle w:val="BodyText"/>
      </w:pPr>
      <w:r>
        <w:t xml:space="preserve">$1,850,000</w:t>
      </w:r>
    </w:p>
    <w:p>
      <w:pPr>
        <w:pStyle w:val="BodyText"/>
      </w:pPr>
      <w:r>
        <w:t xml:space="preserve">22%</w:t>
      </w:r>
    </w:p>
    <w:p>
      <w:pPr>
        <w:pStyle w:val="BodyText"/>
      </w:pPr>
      <w:r>
        <w:t xml:space="preserve">PDVSA Exploration (Caracas HQ)</w:t>
      </w:r>
    </w:p>
    <w:p>
      <w:pPr>
        <w:pStyle w:val="BodyText"/>
      </w:pPr>
      <w:r>
        <w:t xml:space="preserve">Field Development Optimization</w:t>
      </w:r>
    </w:p>
    <w:p>
      <w:pPr>
        <w:pStyle w:val="BodyText"/>
      </w:pPr>
      <w:r>
        <w:t xml:space="preserve">$975,000</w:t>
      </w:r>
    </w:p>
    <w:p>
      <w:pPr>
        <w:pStyle w:val="BodyText"/>
      </w:pPr>
      <w:r>
        <w:t xml:space="preserve">14%</w:t>
      </w:r>
    </w:p>
    <w:p>
      <w:pPr>
        <w:pStyle w:val="BodyText"/>
      </w:pPr>
      <w:r>
        <w:t xml:space="preserve">Servicio Nacional de Petróleo (SNP) - Caracas</w:t>
      </w:r>
    </w:p>
    <w:p>
      <w:pPr>
        <w:pStyle w:val="BodyText"/>
      </w:pPr>
      <w:r>
        <w:t xml:space="preserve">Safety &amp; Compliance Audits (Venezuela-Specific)</w:t>
      </w:r>
    </w:p>
    <w:p>
      <w:pPr>
        <w:pStyle w:val="BodyText"/>
      </w:pPr>
      <w:r>
        <w:t xml:space="preserve">$620,000</w:t>
      </w:r>
    </w:p>
    <w:p>
      <w:pPr>
        <w:pStyle w:val="BodyText"/>
      </w:pPr>
      <w:r>
        <w:t xml:space="preserve">8%</w:t>
      </w:r>
    </w:p>
    <w:p>
      <w:pPr>
        <w:pStyle w:val="BodyText"/>
      </w:pPr>
      <w:r>
        <w:t xml:space="preserve">Orinoco Belt Joint Venture (Caracas Office)</w:t>
      </w:r>
    </w:p>
    <w:p>
      <w:pPr>
        <w:pStyle w:val="BodyText"/>
      </w:pPr>
      <w:r>
        <w:rPr>
          <w:bCs/>
          <w:b/>
        </w:rPr>
        <w:t xml:space="preserve">Total Sales</w:t>
      </w:r>
    </w:p>
    <w:p>
      <w:pPr>
        <w:pStyle w:val="BodyText"/>
      </w:pPr>
      <w:r>
        <w:rPr>
          <w:bCs/>
          <w:b/>
        </w:rPr>
        <w:t xml:space="preserve">$3,445,000</w:t>
      </w:r>
    </w:p>
    <w:p>
      <w:pPr>
        <w:pStyle w:val="BodyText"/>
      </w:pPr>
      <w:r>
        <w:rPr>
          <w:bCs/>
          <w:b/>
        </w:rPr>
        <w:t xml:space="preserve">17% YoY Growth</w:t>
      </w:r>
    </w:p>
    <w:p>
      <w:pPr>
        <w:pStyle w:val="BodyText"/>
      </w:pPr>
      <w:r>
        <w:t xml:space="preserve"> </w:t>
      </w:r>
    </w:p>
    <w:bookmarkEnd w:id="22"/>
    <w:bookmarkStart w:id="23" w:name="X07ca98de09fa86d4fc66e53ec852b096e7ebd0b"/>
    <w:p>
      <w:pPr>
        <w:pStyle w:val="Heading2"/>
      </w:pPr>
      <w:r>
        <w:t xml:space="preserve">IV. Strategic Insights: Why Petroleum Engineers Drive Value in Venezuela Caracas</w:t>
      </w:r>
    </w:p>
    <w:p>
      <w:pPr>
        <w:pStyle w:val="FirstParagraph"/>
      </w:pPr>
      <w:r>
        <w:t xml:space="preserve">The success of our sales is intrinsically linked to the technical expertise of our on-ground</w:t>
      </w:r>
      <w:r>
        <w:t xml:space="preserve"> </w:t>
      </w:r>
      <w:r>
        <w:rPr>
          <w:bCs/>
          <w:b/>
        </w:rPr>
        <w:t xml:space="preserve">Petroleum Engineer</w:t>
      </w:r>
      <w:r>
        <w:t xml:space="preserve"> </w:t>
      </w:r>
      <w:r>
        <w:t xml:space="preserve">teams in Caracas. Unlike generic consulting firms, our engineers possess deep, localized knowledge of Venezuela's unique geology (e.g., Orinoco heavy oil formations) and regulatory landscape. Key differentiators include:</w:t>
      </w:r>
    </w:p>
    <w:p>
      <w:pPr>
        <w:numPr>
          <w:ilvl w:val="0"/>
          <w:numId w:val="1001"/>
        </w:numPr>
        <w:pStyle w:val="Compact"/>
      </w:pPr>
      <w:r>
        <w:rPr>
          <w:bCs/>
          <w:b/>
        </w:rPr>
        <w:t xml:space="preserve">Caracas-Centric Operations:</w:t>
      </w:r>
      <w:r>
        <w:t xml:space="preserve"> </w:t>
      </w:r>
      <w:r>
        <w:t xml:space="preserve">All engineering deliverables are tailored to Caracas-based project management structures. Our team at the Las Mercedes headquarters conducts real-time data analysis for fields like Lake Maracaibo, directly supporting PDVSA’s central operations command.</w:t>
      </w:r>
    </w:p>
    <w:p>
      <w:pPr>
        <w:numPr>
          <w:ilvl w:val="0"/>
          <w:numId w:val="1001"/>
        </w:numPr>
        <w:pStyle w:val="Compact"/>
      </w:pPr>
      <w:r>
        <w:rPr>
          <w:bCs/>
          <w:b/>
        </w:rPr>
        <w:t xml:space="preserve">Sanctions-Adaptive Solutions:</w:t>
      </w:r>
      <w:r>
        <w:t xml:space="preserve"> </w:t>
      </w:r>
      <w:r>
        <w:t xml:space="preserve">Engineers developed alternative supply chain protocols for critical equipment (e.g., downhole sensors), reducing dependency on sanctioned markets – a capability highly valued by Venezuelan clients.</w:t>
      </w:r>
    </w:p>
    <w:p>
      <w:pPr>
        <w:numPr>
          <w:ilvl w:val="0"/>
          <w:numId w:val="1001"/>
        </w:numPr>
        <w:pStyle w:val="Compact"/>
      </w:pPr>
      <w:r>
        <w:rPr>
          <w:bCs/>
          <w:b/>
        </w:rPr>
        <w:t xml:space="preserve">Cultural &amp; Technical Alignment:</w:t>
      </w:r>
      <w:r>
        <w:t xml:space="preserve"> </w:t>
      </w:r>
      <w:r>
        <w:t xml:space="preserve">Our engineers, many trained at Universidad Central de Venezuela (UCV) or the Instituto Universitario Politécnico Santiago Mariño, navigate local protocols seamlessly, accelerating project approvals in Caracas.</w:t>
      </w:r>
    </w:p>
    <w:bookmarkEnd w:id="23"/>
    <w:bookmarkStart w:id="24" w:name="Xbd85601f0c6c7ba23cf07d555cc1ddba189ef7a"/>
    <w:p>
      <w:pPr>
        <w:pStyle w:val="Heading2"/>
      </w:pPr>
      <w:r>
        <w:t xml:space="preserve">V. Case Study: Lake Maracaibo Field Optimization</w:t>
      </w:r>
    </w:p>
    <w:p>
      <w:pPr>
        <w:pStyle w:val="FirstParagraph"/>
      </w:pPr>
      <w:r>
        <w:t xml:space="preserve">One of our flagship Q3 successes was the $1.2M contract with PDVSA Exploration (Caracas) for reservoir management in the Lake Maracaibo basin. The project involved a specialized team of three</w:t>
      </w:r>
      <w:r>
        <w:t xml:space="preserve"> </w:t>
      </w:r>
      <w:r>
        <w:rPr>
          <w:bCs/>
          <w:b/>
        </w:rPr>
        <w:t xml:space="preserve">Petroleum Engineer</w:t>
      </w:r>
      <w:r>
        <w:t xml:space="preserve">s embedded at Caracas headquarters to:</w:t>
      </w:r>
    </w:p>
    <w:p>
      <w:pPr>
        <w:numPr>
          <w:ilvl w:val="0"/>
          <w:numId w:val="1002"/>
        </w:numPr>
        <w:pStyle w:val="Compact"/>
      </w:pPr>
      <w:r>
        <w:t xml:space="preserve">Deploy AI-driven pressure analysis models for 82 aging wells.</w:t>
      </w:r>
    </w:p>
    <w:p>
      <w:pPr>
        <w:numPr>
          <w:ilvl w:val="0"/>
          <w:numId w:val="1002"/>
        </w:numPr>
        <w:pStyle w:val="Compact"/>
      </w:pPr>
      <w:r>
        <w:t xml:space="preserve">Revise well spacing strategies based on Venezuela’s unique carbonate reservoir characteristics.</w:t>
      </w:r>
    </w:p>
    <w:p>
      <w:pPr>
        <w:numPr>
          <w:ilvl w:val="0"/>
          <w:numId w:val="1002"/>
        </w:numPr>
        <w:pStyle w:val="Compact"/>
      </w:pPr>
      <w:r>
        <w:t xml:space="preserve">Implement predictive maintenance protocols using local sensor networks.</w:t>
      </w:r>
    </w:p>
    <w:p>
      <w:pPr>
        <w:pStyle w:val="FirstParagraph"/>
      </w:pPr>
      <w:r>
        <w:rPr>
          <w:iCs/>
          <w:i/>
        </w:rPr>
        <w:t xml:space="preserve">Results:</w:t>
      </w:r>
      <w:r>
        <w:t xml:space="preserve"> </w:t>
      </w:r>
      <w:r>
        <w:t xml:space="preserve">A 19% increase in net oil recovery within 6 months, directly contributing to PDVSA’s Q3 production target. The Caracas project team was recognized at the national level for "reducing operational downtime by 27%" – a metric critical to Venezuela's economic stabilization efforts.</w:t>
      </w:r>
    </w:p>
    <w:bookmarkEnd w:id="24"/>
    <w:bookmarkStart w:id="25" w:name="vi.-challenges-and-strategic-adjustments"/>
    <w:p>
      <w:pPr>
        <w:pStyle w:val="Heading2"/>
      </w:pPr>
      <w:r>
        <w:t xml:space="preserve">VI. Challenges and Strategic Adjustments</w:t>
      </w:r>
    </w:p>
    <w:p>
      <w:pPr>
        <w:pStyle w:val="FirstParagraph"/>
      </w:pPr>
      <w:r>
        <w:t xml:space="preserve">While growth is evident, challenges specific to Venezuela Caracas require adaptive strategies:</w:t>
      </w:r>
    </w:p>
    <w:p>
      <w:pPr>
        <w:numPr>
          <w:ilvl w:val="0"/>
          <w:numId w:val="1003"/>
        </w:numPr>
        <w:pStyle w:val="Compact"/>
      </w:pPr>
      <w:r>
        <w:rPr>
          <w:bCs/>
          <w:b/>
        </w:rPr>
        <w:t xml:space="preserve">Currency Volatility:</w:t>
      </w:r>
      <w:r>
        <w:t xml:space="preserve"> </w:t>
      </w:r>
      <w:r>
        <w:t xml:space="preserve">70% of contracts are now denominated in USD to mitigate bolivar devaluation risks, a shift driven by client requests from Caracas offices.</w:t>
      </w:r>
    </w:p>
    <w:p>
      <w:pPr>
        <w:numPr>
          <w:ilvl w:val="0"/>
          <w:numId w:val="1003"/>
        </w:numPr>
        <w:pStyle w:val="Compact"/>
      </w:pPr>
      <w:r>
        <w:rPr>
          <w:bCs/>
          <w:b/>
        </w:rPr>
        <w:t xml:space="preserve">Talent Retention:</w:t>
      </w:r>
      <w:r>
        <w:t xml:space="preserve"> </w:t>
      </w:r>
      <w:r>
        <w:t xml:space="preserve">Competitive salaries (aligned with international standards) and relocation support for engineers have reduced turnover from 18% to 7% YoY – crucial for maintaining Caracas office stability.</w:t>
      </w:r>
    </w:p>
    <w:p>
      <w:pPr>
        <w:numPr>
          <w:ilvl w:val="0"/>
          <w:numId w:val="1003"/>
        </w:numPr>
        <w:pStyle w:val="Compact"/>
      </w:pPr>
      <w:r>
        <w:rPr>
          <w:bCs/>
          <w:b/>
        </w:rPr>
        <w:t xml:space="preserve">Logistics in Caracas:</w:t>
      </w:r>
      <w:r>
        <w:t xml:space="preserve"> </w:t>
      </w:r>
      <w:r>
        <w:t xml:space="preserve">Partnering with local logistics firms (e.g., Transportes Petroleros de Venezuela) ensures equipment delivery within 48 hours across Caracas, addressing the capital’s infrastructure constraints.</w:t>
      </w:r>
    </w:p>
    <w:bookmarkEnd w:id="25"/>
    <w:bookmarkStart w:id="26" w:name="vii.-q4-2023-outlook-recommendations"/>
    <w:p>
      <w:pPr>
        <w:pStyle w:val="Heading2"/>
      </w:pPr>
      <w:r>
        <w:t xml:space="preserve">VII. Q4 2023 Outlook &amp; Recommendations</w:t>
      </w:r>
    </w:p>
    <w:p>
      <w:pPr>
        <w:pStyle w:val="FirstParagraph"/>
      </w:pPr>
      <w:r>
        <w:t xml:space="preserve">Based on market trends in Venezuela Caracas, we project a sustained 15-18% sales growth for Q4. Critical initiatives include:</w:t>
      </w:r>
    </w:p>
    <w:p>
      <w:pPr>
        <w:numPr>
          <w:ilvl w:val="0"/>
          <w:numId w:val="1004"/>
        </w:numPr>
        <w:pStyle w:val="Compact"/>
      </w:pPr>
      <w:r>
        <w:rPr>
          <w:bCs/>
          <w:b/>
        </w:rPr>
        <w:t xml:space="preserve">Expanding Service Lines:</w:t>
      </w:r>
      <w:r>
        <w:t xml:space="preserve"> </w:t>
      </w:r>
      <w:r>
        <w:t xml:space="preserve">Launching "Sanctions-Resilient Engineering" packages targeting Caracas-based PDVSA subsidiaries.</w:t>
      </w:r>
    </w:p>
    <w:p>
      <w:pPr>
        <w:numPr>
          <w:ilvl w:val="0"/>
          <w:numId w:val="1004"/>
        </w:numPr>
        <w:pStyle w:val="Compact"/>
      </w:pPr>
      <w:r>
        <w:rPr>
          <w:bCs/>
          <w:b/>
        </w:rPr>
        <w:t xml:space="preserve">Caracas Talent Pipeline:</w:t>
      </w:r>
      <w:r>
        <w:t xml:space="preserve"> </w:t>
      </w:r>
      <w:r>
        <w:t xml:space="preserve">Partnering with UCV to create a dedicated Petroleum Engineering internship program in the capital, ensuring future local talent for our teams.</w:t>
      </w:r>
    </w:p>
    <w:p>
      <w:pPr>
        <w:numPr>
          <w:ilvl w:val="0"/>
          <w:numId w:val="1004"/>
        </w:numPr>
        <w:pStyle w:val="Compact"/>
      </w:pPr>
      <w:r>
        <w:rPr>
          <w:bCs/>
          <w:b/>
        </w:rPr>
        <w:t xml:space="preserve">Client Portfolio Diversification:</w:t>
      </w:r>
      <w:r>
        <w:t xml:space="preserve"> </w:t>
      </w:r>
      <w:r>
        <w:t xml:space="preserve">Targeting smaller Venezuelan operators (e.g., CANTV’s energy division) in Caracas, who now seek affordable engineering support due to budget constraints.</w:t>
      </w:r>
    </w:p>
    <w:bookmarkEnd w:id="26"/>
    <w:bookmarkStart w:id="27" w:name="viii.-conclusion"/>
    <w:p>
      <w:pPr>
        <w:pStyle w:val="Heading2"/>
      </w:pPr>
      <w:r>
        <w:t xml:space="preserve">VIII. Conclusion</w:t>
      </w:r>
    </w:p>
    <w:p>
      <w:pPr>
        <w:pStyle w:val="FirstParagraph"/>
      </w:pPr>
      <w:r>
        <w:t xml:space="preserve">This Sales Report underscores that the success of our Petroleum Engineering services in Venezuela Caracas is not merely transactional but deeply embedded in national energy strategy. As Venezuela navigates its economic and operational recovery, the expertise of our on-the-ground</w:t>
      </w:r>
      <w:r>
        <w:t xml:space="preserve"> </w:t>
      </w:r>
      <w:r>
        <w:rPr>
          <w:bCs/>
          <w:b/>
        </w:rPr>
        <w:t xml:space="preserve">Petroleum Engineer</w:t>
      </w:r>
      <w:r>
        <w:t xml:space="preserve"> </w:t>
      </w:r>
      <w:r>
        <w:t xml:space="preserve">teams becomes increasingly indispensable. Our Q3 performance demonstrates that technical excellence, localized execution from Caracas, and strategic alignment with Venezuelan oil sector needs directly drive measurable client value – a formula validated by our 17% sales growth in a complex market. We recommend accelerating investments in Caracas-based engineering capacity to capitalize on the nation’s urgent need for sustainable production solutions.</w:t>
      </w:r>
    </w:p>
    <w:p>
      <w:pPr>
        <w:pStyle w:val="BodyText"/>
      </w:pPr>
      <w:r>
        <w:rPr>
          <w:iCs/>
          <w:i/>
        </w:rPr>
        <w:t xml:space="preserve">Prepared by: Petroecuador International Venezuela Sales &amp; Engineering Team</w:t>
      </w:r>
      <w:r>
        <w:br/>
      </w:r>
      <w:r>
        <w:rPr>
          <w:iCs/>
          <w:i/>
        </w:rPr>
        <w:t xml:space="preserve">Location: Caracas, Venezuela | Strategic Hub for South American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Venezuela Caracas</dc:title>
  <dc:creator/>
  <dc:language>en</dc:language>
  <cp:keywords/>
  <dcterms:created xsi:type="dcterms:W3CDTF">2026-07-21T14:51:07Z</dcterms:created>
  <dcterms:modified xsi:type="dcterms:W3CDTF">2026-07-21T14:51:07Z</dcterms:modified>
</cp:coreProperties>
</file>

<file path=docProps/custom.xml><?xml version="1.0" encoding="utf-8"?>
<Properties xmlns="http://schemas.openxmlformats.org/officeDocument/2006/custom-properties" xmlns:vt="http://schemas.openxmlformats.org/officeDocument/2006/docPropsVTypes"/>
</file>