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Pharmacist</w:t>
      </w:r>
      <w:r>
        <w:t xml:space="preserve"> </w:t>
      </w:r>
      <w:r>
        <w:t xml:space="preserve">Sales</w:t>
      </w:r>
      <w:r>
        <w:t xml:space="preserve"> </w:t>
      </w:r>
      <w:r>
        <w:t xml:space="preserve">Report:</w:t>
      </w:r>
      <w:r>
        <w:t xml:space="preserve"> </w:t>
      </w:r>
      <w:r>
        <w:t xml:space="preserve">Australia</w:t>
      </w:r>
      <w:r>
        <w:t xml:space="preserve"> </w:t>
      </w:r>
      <w:r>
        <w:t xml:space="preserve">Sydney</w:t>
      </w:r>
      <w:r>
        <w:t xml:space="preserve"> </w:t>
      </w:r>
      <w:r>
        <w:t xml:space="preserve">-</w:t>
      </w:r>
      <w:r>
        <w:t xml:space="preserve"> </w:t>
      </w:r>
      <w:r>
        <w:t xml:space="preserve">Q3</w:t>
      </w:r>
      <w:r>
        <w:t xml:space="preserve"> </w:t>
      </w:r>
      <w:r>
        <w:t xml:space="preserve">2023</w:t>
      </w:r>
    </w:p>
    <w:bookmarkStart w:id="32" w:name="Xbe7ee22097d5c514d53b61ed725432b31ba45c1"/>
    <w:p>
      <w:pPr>
        <w:pStyle w:val="Heading1"/>
      </w:pPr>
      <w:r>
        <w:t xml:space="preserve">Comprehensive Sales Report for Community Pharmacy Operations in Australia Sydney - Quarter 3, 2023</w:t>
      </w:r>
    </w:p>
    <w:p>
      <w:pPr>
        <w:pStyle w:val="FirstParagraph"/>
      </w:pPr>
      <w:r>
        <w:rPr>
          <w:bCs/>
          <w:b/>
        </w:rPr>
        <w:t xml:space="preserve">Date Prepared:</w:t>
      </w:r>
      <w:r>
        <w:t xml:space="preserve"> </w:t>
      </w:r>
      <w:r>
        <w:t xml:space="preserve">October 15, 2023</w:t>
      </w:r>
      <w:r>
        <w:br/>
      </w:r>
      <w:r>
        <w:rPr>
          <w:bCs/>
          <w:b/>
        </w:rPr>
        <w:t xml:space="preserve">Prepared For:</w:t>
      </w:r>
      <w:r>
        <w:t xml:space="preserve"> </w:t>
      </w:r>
      <w:r>
        <w:t xml:space="preserve">National Pharmacy Management Committee</w:t>
      </w:r>
      <w:r>
        <w:br/>
      </w:r>
      <w:r>
        <w:rPr>
          <w:bCs/>
          <w:b/>
        </w:rPr>
        <w:t xml:space="preserve">Pharmacy Location:</w:t>
      </w:r>
      <w:r>
        <w:t xml:space="preserve"> </w:t>
      </w:r>
      <w:r>
        <w:t xml:space="preserve">Central Sydney Community Pharmacy (547 George Street, Sydney NSW 2000)</w:t>
      </w:r>
      <w:r>
        <w:br/>
      </w:r>
      <w:r>
        <w:rPr>
          <w:bCs/>
          <w:b/>
        </w:rPr>
        <w:t xml:space="preserve">Sales Period:</w:t>
      </w:r>
      <w:r>
        <w:t xml:space="preserve"> </w:t>
      </w:r>
      <w:r>
        <w:t xml:space="preserve">July 1, 2023 - September 30, 2023</w:t>
      </w:r>
    </w:p>
    <w:bookmarkStart w:id="20" w:name="executive-summary"/>
    <w:p>
      <w:pPr>
        <w:pStyle w:val="Heading2"/>
      </w:pPr>
      <w:r>
        <w:t xml:space="preserve">Executive Summary</w:t>
      </w:r>
    </w:p>
    <w:p>
      <w:pPr>
        <w:pStyle w:val="FirstParagraph"/>
      </w:pPr>
      <w:r>
        <w:t xml:space="preserve">This Sales Report details the operational performance of a community pharmacy operating within the dynamic healthcare landscape of Australia Sydney. As a registered Pharmacist with over eight years of clinical practice in New South Wales, this report demonstrates how strategic inventory management, patient-centric services, and adherence to Australian regulatory standards (TGA, PBS) have driven revenue growth while enhancing community health outcomes. Despite economic pressures affecting Australia's retail sector, our Sydney pharmacy achieved a 12.7% year-over-year sales increase during Q3 2023 through targeted service expansion and evidence-based product selection.</w:t>
      </w:r>
    </w:p>
    <w:bookmarkEnd w:id="20"/>
    <w:bookmarkStart w:id="21" w:name="key-performance-indicators"/>
    <w:p>
      <w:pPr>
        <w:pStyle w:val="Heading2"/>
      </w:pPr>
      <w:r>
        <w:t xml:space="preserve">Key Performance Indicators</w:t>
      </w:r>
    </w:p>
    <w:p>
      <w:pPr>
        <w:pStyle w:val="FirstParagraph"/>
      </w:pPr>
      <w:r>
        <w:t xml:space="preserve">Category</w:t>
      </w:r>
    </w:p>
    <w:p>
      <w:pPr>
        <w:pStyle w:val="BodyText"/>
      </w:pPr>
      <w:r>
        <w:t xml:space="preserve">Q3 2023 ($)</w:t>
      </w:r>
    </w:p>
    <w:p>
      <w:pPr>
        <w:pStyle w:val="BodyText"/>
      </w:pPr>
      <w:r>
        <w:t xml:space="preserve">Q3 2022 ($)</w:t>
      </w:r>
    </w:p>
    <w:p>
      <w:pPr>
        <w:pStyle w:val="BodyText"/>
      </w:pPr>
      <w:r>
        <w:t xml:space="preserve">YoY Change (%)</w:t>
      </w:r>
    </w:p>
    <w:p>
      <w:pPr>
        <w:pStyle w:val="BodyText"/>
      </w:pPr>
      <w:r>
        <w:t xml:space="preserve">Total Sales Revenue</w:t>
      </w:r>
    </w:p>
    <w:p>
      <w:pPr>
        <w:pStyle w:val="BodyText"/>
      </w:pPr>
      <w:r>
        <w:t xml:space="preserve">$1,845,600</w:t>
      </w:r>
    </w:p>
    <w:p>
      <w:pPr>
        <w:pStyle w:val="BodyText"/>
      </w:pPr>
      <w:r>
        <w:t xml:space="preserve">$1,637,200</w:t>
      </w:r>
    </w:p>
    <w:p>
      <w:pPr>
        <w:pStyle w:val="BodyText"/>
      </w:pPr>
      <w:r>
        <w:t xml:space="preserve">+12.7%</w:t>
      </w:r>
    </w:p>
    <w:p>
      <w:pPr>
        <w:pStyle w:val="BodyText"/>
      </w:pPr>
      <w:r>
        <w:t xml:space="preserve">Prescription Dispensing (PBS)</w:t>
      </w:r>
    </w:p>
    <w:p>
      <w:pPr>
        <w:pStyle w:val="BodyText"/>
      </w:pPr>
      <w:r>
        <w:t xml:space="preserve">$984,350</w:t>
      </w:r>
    </w:p>
    <w:p>
      <w:pPr>
        <w:pStyle w:val="BodyText"/>
      </w:pPr>
      <w:r>
        <w:t xml:space="preserve">$921,500</w:t>
      </w:r>
    </w:p>
    <w:p>
      <w:pPr>
        <w:pStyle w:val="BodyText"/>
      </w:pPr>
      <w:r>
        <w:t xml:space="preserve">Pharmacist-Driven Services</w:t>
      </w:r>
    </w:p>
    <w:p>
      <w:pPr>
        <w:pStyle w:val="BodyText"/>
      </w:pPr>
      <w:r>
        <w:t xml:space="preserve">Vaccination Services (Flu/COVID)</w:t>
      </w:r>
    </w:p>
    <w:p>
      <w:pPr>
        <w:pStyle w:val="BodyText"/>
      </w:pPr>
      <w:r>
        <w:t xml:space="preserve">$82,600</w:t>
      </w:r>
    </w:p>
    <w:p>
      <w:pPr>
        <w:pStyle w:val="BodyText"/>
      </w:pPr>
      <w:r>
        <w:t xml:space="preserve">$34,800</w:t>
      </w:r>
    </w:p>
    <w:p>
      <w:pPr>
        <w:pStyle w:val="BodyText"/>
      </w:pPr>
      <w:r>
        <w:t xml:space="preserve">+137.3%</w:t>
      </w:r>
    </w:p>
    <w:p>
      <w:pPr>
        <w:pStyle w:val="BodyText"/>
      </w:pPr>
      <w:r>
        <w:t xml:space="preserve">Medication Therapy Management (MTM)</w:t>
      </w:r>
    </w:p>
    <w:p>
      <w:pPr>
        <w:pStyle w:val="BodyText"/>
      </w:pPr>
      <w:r>
        <w:t xml:space="preserve">$57,425</w:t>
      </w:r>
    </w:p>
    <w:p>
      <w:pPr>
        <w:pStyle w:val="BodyText"/>
      </w:pPr>
      <w:r>
        <w:t xml:space="preserve">$28,900</w:t>
      </w:r>
    </w:p>
    <w:p>
      <w:pPr>
        <w:pStyle w:val="BodyText"/>
      </w:pPr>
      <w:r>
        <w:t xml:space="preserve">+98.7%</w:t>
      </w:r>
    </w:p>
    <w:bookmarkEnd w:id="21"/>
    <w:bookmarkStart w:id="25" w:name="X2c0c32550c689217869054dcdfbf8c9911da972"/>
    <w:p>
      <w:pPr>
        <w:pStyle w:val="Heading2"/>
      </w:pPr>
      <w:r>
        <w:t xml:space="preserve">Analysis of Sales Drivers in Australia Sydney Context</w:t>
      </w:r>
    </w:p>
    <w:bookmarkStart w:id="22" w:name="prescription-medication-performance"/>
    <w:p>
      <w:pPr>
        <w:pStyle w:val="Heading3"/>
      </w:pPr>
      <w:r>
        <w:t xml:space="preserve">1. Prescription Medication Performance</w:t>
      </w:r>
    </w:p>
    <w:p>
      <w:pPr>
        <w:pStyle w:val="FirstParagraph"/>
      </w:pPr>
      <w:r>
        <w:t xml:space="preserve">The pharmacy's strong prescription dispensing performance reflects strategic positioning within Sydney's healthcare ecosystem. We recorded 18,450 PBS scripts processed during Q3 – a 7.2% increase from last year – driven by our Pharmacist-led chronic disease management programs for diabetes and cardiovascular conditions. This aligns with the Australian Government's focus on reducing hospital admissions through community pharmacy interventions (as highlighted in the National Medicines Policy). The top three prescription categories were:</w:t>
      </w:r>
    </w:p>
    <w:p>
      <w:pPr>
        <w:numPr>
          <w:ilvl w:val="0"/>
          <w:numId w:val="1001"/>
        </w:numPr>
        <w:pStyle w:val="Compact"/>
      </w:pPr>
      <w:r>
        <w:t xml:space="preserve">Antihypertensives ($286,400) - 29% of prescription revenue</w:t>
      </w:r>
    </w:p>
    <w:p>
      <w:pPr>
        <w:numPr>
          <w:ilvl w:val="0"/>
          <w:numId w:val="1001"/>
        </w:numPr>
        <w:pStyle w:val="Compact"/>
      </w:pPr>
      <w:r>
        <w:t xml:space="preserve">Insulin &amp; Diabetes Management ($198,750) - 20% of prescription revenue</w:t>
      </w:r>
    </w:p>
    <w:p>
      <w:pPr>
        <w:numPr>
          <w:ilvl w:val="0"/>
          <w:numId w:val="1001"/>
        </w:numPr>
        <w:pStyle w:val="Compact"/>
      </w:pPr>
      <w:r>
        <w:t xml:space="preserve">Antidepressants ($173,540) - 18% of prescription revenue</w:t>
      </w:r>
    </w:p>
    <w:bookmarkEnd w:id="22"/>
    <w:bookmarkStart w:id="23" w:name="otc-wellness-product-growth"/>
    <w:p>
      <w:pPr>
        <w:pStyle w:val="Heading3"/>
      </w:pPr>
      <w:r>
        <w:t xml:space="preserve">2. OTC &amp; Wellness Product Growth</w:t>
      </w:r>
    </w:p>
    <w:p>
      <w:pPr>
        <w:pStyle w:val="FirstParagraph"/>
      </w:pPr>
      <w:r>
        <w:t xml:space="preserve">Sydney consumers demonstrated heightened interest in preventative health during Q3, contributing to a 21.4% increase in over-the-counter (OTC) sales. Key growth areas included:</w:t>
      </w:r>
    </w:p>
    <w:p>
      <w:pPr>
        <w:numPr>
          <w:ilvl w:val="0"/>
          <w:numId w:val="1002"/>
        </w:numPr>
        <w:pStyle w:val="Compact"/>
      </w:pPr>
      <w:r>
        <w:rPr>
          <w:bCs/>
          <w:b/>
        </w:rPr>
        <w:t xml:space="preserve">Health Supplements:</w:t>
      </w:r>
      <w:r>
        <w:t xml:space="preserve"> </w:t>
      </w:r>
      <w:r>
        <w:t xml:space="preserve">Vitamin D and Omega-3 products surged (+37%) due to Sydney's seasonal UV index peaks and rising public awareness of bone health (supported by NSW Health campaigns).</w:t>
      </w:r>
    </w:p>
    <w:p>
      <w:pPr>
        <w:numPr>
          <w:ilvl w:val="0"/>
          <w:numId w:val="1002"/>
        </w:numPr>
        <w:pStyle w:val="Compact"/>
      </w:pPr>
      <w:r>
        <w:rPr>
          <w:bCs/>
          <w:b/>
        </w:rPr>
        <w:t xml:space="preserve">Sun Protection:</w:t>
      </w:r>
      <w:r>
        <w:t xml:space="preserve"> </w:t>
      </w:r>
      <w:r>
        <w:t xml:space="preserve">SPF50+ sunscreen sales increased 48% above annual average as summer commenced, with Pharmacist consultations driving informed product selection.</w:t>
      </w:r>
    </w:p>
    <w:p>
      <w:pPr>
        <w:numPr>
          <w:ilvl w:val="0"/>
          <w:numId w:val="1002"/>
        </w:numPr>
        <w:pStyle w:val="Compact"/>
      </w:pPr>
      <w:r>
        <w:rPr>
          <w:bCs/>
          <w:b/>
        </w:rPr>
        <w:t xml:space="preserve">Cold &amp; Flu Remedies:</w:t>
      </w:r>
      <w:r>
        <w:t xml:space="preserve"> </w:t>
      </w:r>
      <w:r>
        <w:t xml:space="preserve">Early-season demand rose 19% following the NSW Health Department's recommendation for vaccination campaigns during Q3.</w:t>
      </w:r>
    </w:p>
    <w:bookmarkEnd w:id="23"/>
    <w:bookmarkStart w:id="24" w:name="pharmacist-driven-service-expansion"/>
    <w:p>
      <w:pPr>
        <w:pStyle w:val="Heading3"/>
      </w:pPr>
      <w:r>
        <w:t xml:space="preserve">3. Pharmacist-Driven Service Expansion</w:t>
      </w:r>
    </w:p>
    <w:p>
      <w:pPr>
        <w:pStyle w:val="FirstParagraph"/>
      </w:pPr>
      <w:r>
        <w:t xml:space="preserve">A pivotal factor in our success was the strategic expansion of Pharmacist-led services, directly responding to gaps identified in Australia Sydney healthcare delivery. The pharmacy implemented:</w:t>
      </w:r>
    </w:p>
    <w:p>
      <w:pPr>
        <w:numPr>
          <w:ilvl w:val="0"/>
          <w:numId w:val="1003"/>
        </w:numPr>
        <w:pStyle w:val="Compact"/>
      </w:pPr>
      <w:r>
        <w:rPr>
          <w:iCs/>
          <w:i/>
        </w:rPr>
        <w:t xml:space="preserve">Medication Review Clinics:</w:t>
      </w:r>
      <w:r>
        <w:t xml:space="preserve"> </w:t>
      </w:r>
      <w:r>
        <w:t xml:space="preserve">420 patients received comprehensive reviews (exceeding target by 15%), resulting in $38,600 in identified savings for the PBS.</w:t>
      </w:r>
    </w:p>
    <w:p>
      <w:pPr>
        <w:numPr>
          <w:ilvl w:val="0"/>
          <w:numId w:val="1003"/>
        </w:numPr>
        <w:pStyle w:val="Compact"/>
      </w:pPr>
      <w:r>
        <w:rPr>
          <w:iCs/>
          <w:i/>
        </w:rPr>
        <w:t xml:space="preserve">Vaccination Program:</w:t>
      </w:r>
      <w:r>
        <w:t xml:space="preserve"> </w:t>
      </w:r>
      <w:r>
        <w:t xml:space="preserve">Certified Pharmacist immunisers administered 2,150 vaccines (flu and AstraZeneca booster), contributing to Sydney's community immunity targets as per NSW Health guidelines.</w:t>
      </w:r>
    </w:p>
    <w:p>
      <w:pPr>
        <w:numPr>
          <w:ilvl w:val="0"/>
          <w:numId w:val="1003"/>
        </w:numPr>
        <w:pStyle w:val="Compact"/>
      </w:pPr>
      <w:r>
        <w:rPr>
          <w:iCs/>
          <w:i/>
        </w:rPr>
        <w:t xml:space="preserve">Diabetes Education Workshops:</w:t>
      </w:r>
      <w:r>
        <w:t xml:space="preserve"> </w:t>
      </w:r>
      <w:r>
        <w:t xml:space="preserve">Partnered with local GP clinics to deliver 8 workshops reaching 147 patients, improving adherence metrics by 22%.</w:t>
      </w:r>
    </w:p>
    <w:bookmarkEnd w:id="24"/>
    <w:bookmarkEnd w:id="25"/>
    <w:bookmarkStart w:id="29" w:name="Xa2556a4222c7006a1b8c1133013b9ea5ef30006"/>
    <w:p>
      <w:pPr>
        <w:pStyle w:val="Heading2"/>
      </w:pPr>
      <w:r>
        <w:t xml:space="preserve">Market Challenges &amp; Solutions in Australia Sydney</w:t>
      </w:r>
    </w:p>
    <w:p>
      <w:pPr>
        <w:pStyle w:val="FirstParagraph"/>
      </w:pPr>
      <w:r>
        <w:t xml:space="preserve">Operating within Sydney's competitive pharmacy market presented specific challenges:</w:t>
      </w:r>
    </w:p>
    <w:bookmarkStart w:id="26" w:name="challenge-supply-chain-disruptions"/>
    <w:p>
      <w:pPr>
        <w:pStyle w:val="Heading3"/>
      </w:pPr>
      <w:r>
        <w:t xml:space="preserve">Challenge: Supply Chain Disruptions</w:t>
      </w:r>
    </w:p>
    <w:p>
      <w:pPr>
        <w:pStyle w:val="FirstParagraph"/>
      </w:pPr>
      <w:r>
        <w:rPr>
          <w:iCs/>
          <w:i/>
        </w:rPr>
        <w:t xml:space="preserve">Action Taken:</w:t>
      </w:r>
      <w:r>
        <w:t xml:space="preserve"> </w:t>
      </w:r>
      <w:r>
        <w:t xml:space="preserve">The Pharmacist team implemented a dual-supplier strategy for high-demand items (e.g., insulin and inhalers), securing partnerships with both local Australian distributors and international suppliers to maintain 98% stock availability – surpassing the national average of 92%.</w:t>
      </w:r>
    </w:p>
    <w:bookmarkEnd w:id="26"/>
    <w:bookmarkStart w:id="27" w:name="challenge-rising-operational-costs"/>
    <w:p>
      <w:pPr>
        <w:pStyle w:val="Heading3"/>
      </w:pPr>
      <w:r>
        <w:t xml:space="preserve">Challenge: Rising Operational Costs</w:t>
      </w:r>
    </w:p>
    <w:p>
      <w:pPr>
        <w:pStyle w:val="FirstParagraph"/>
      </w:pPr>
      <w:r>
        <w:rPr>
          <w:iCs/>
          <w:i/>
        </w:rPr>
        <w:t xml:space="preserve">Action Taken:</w:t>
      </w:r>
      <w:r>
        <w:t xml:space="preserve"> </w:t>
      </w:r>
      <w:r>
        <w:t xml:space="preserve">Through data analysis, we identified that 15% of high-margin products were understocked. By adjusting inventory algorithms using our pharmacy management software (aligned with Australian Pharmaceutical Advisory Council standards), we reduced stockouts by 27% and increased gross margins by 4.3 percentage points.</w:t>
      </w:r>
    </w:p>
    <w:bookmarkEnd w:id="27"/>
    <w:bookmarkStart w:id="28" w:name="challenge-patient-engagement-barriers"/>
    <w:p>
      <w:pPr>
        <w:pStyle w:val="Heading3"/>
      </w:pPr>
      <w:r>
        <w:t xml:space="preserve">Challenge: Patient Engagement Barriers</w:t>
      </w:r>
    </w:p>
    <w:p>
      <w:pPr>
        <w:pStyle w:val="FirstParagraph"/>
      </w:pPr>
      <w:r>
        <w:rPr>
          <w:iCs/>
          <w:i/>
        </w:rPr>
        <w:t xml:space="preserve">Action Taken:</w:t>
      </w:r>
      <w:r>
        <w:t xml:space="preserve"> </w:t>
      </w:r>
      <w:r>
        <w:t xml:space="preserve">Introduced a digital patient portal for SMS appointment reminders and medication adherence tracking, increasing follow-up rates from 58% to 79%. This solution directly addresses the Australian Government's 'Digital Health Strategy' priorities.</w:t>
      </w:r>
    </w:p>
    <w:bookmarkEnd w:id="28"/>
    <w:bookmarkEnd w:id="29"/>
    <w:bookmarkStart w:id="30" w:name="Xc5c7eb51a2698651074e36263db0441d6e3c170"/>
    <w:p>
      <w:pPr>
        <w:pStyle w:val="Heading2"/>
      </w:pPr>
      <w:r>
        <w:t xml:space="preserve">Strategic Recommendations for Future Growth</w:t>
      </w:r>
    </w:p>
    <w:p>
      <w:pPr>
        <w:numPr>
          <w:ilvl w:val="0"/>
          <w:numId w:val="1004"/>
        </w:numPr>
        <w:pStyle w:val="Compact"/>
      </w:pPr>
      <w:r>
        <w:rPr>
          <w:bCs/>
          <w:b/>
        </w:rPr>
        <w:t xml:space="preserve">Expand Chronic Disease Services:</w:t>
      </w:r>
      <w:r>
        <w:t xml:space="preserve"> </w:t>
      </w:r>
      <w:r>
        <w:t xml:space="preserve">Develop Pharmacist-led hypertension clinics targeting Sydney's elderly population (65+ years), aligning with the NSW Health Department's 'Healthy Ageing Strategy'.</w:t>
      </w:r>
    </w:p>
    <w:p>
      <w:pPr>
        <w:numPr>
          <w:ilvl w:val="0"/>
          <w:numId w:val="1004"/>
        </w:numPr>
        <w:pStyle w:val="Compact"/>
      </w:pPr>
      <w:r>
        <w:rPr>
          <w:bCs/>
          <w:b/>
        </w:rPr>
        <w:t xml:space="preserve">Enhance Digital Integration:</w:t>
      </w:r>
      <w:r>
        <w:t xml:space="preserve"> </w:t>
      </w:r>
      <w:r>
        <w:t xml:space="preserve">Implement AI-powered inventory forecasting tools to anticipate seasonal demand spikes in Sydney (e.g., summer allergies, winter flu) as recommended by the Australian Pharmacy Council.</w:t>
      </w:r>
    </w:p>
    <w:p>
      <w:pPr>
        <w:numPr>
          <w:ilvl w:val="0"/>
          <w:numId w:val="1004"/>
        </w:numPr>
        <w:pStyle w:val="Compact"/>
      </w:pPr>
      <w:r>
        <w:rPr>
          <w:bCs/>
          <w:b/>
        </w:rPr>
        <w:t xml:space="preserve">Community Health Partnerships:</w:t>
      </w:r>
      <w:r>
        <w:t xml:space="preserve"> </w:t>
      </w:r>
      <w:r>
        <w:t xml:space="preserve">Formalize agreements with 5 local Sydney GPs for referral pathways for Pharmacist medication reviews – a model proven to reduce ED visits by 18% in Melbourne pilot studies (NHMRC, 2023).</w:t>
      </w:r>
    </w:p>
    <w:p>
      <w:pPr>
        <w:numPr>
          <w:ilvl w:val="0"/>
          <w:numId w:val="1004"/>
        </w:numPr>
        <w:pStyle w:val="Compact"/>
      </w:pPr>
      <w:r>
        <w:rPr>
          <w:bCs/>
          <w:b/>
        </w:rPr>
        <w:t xml:space="preserve">Sustainability Initiatives:</w:t>
      </w:r>
      <w:r>
        <w:t xml:space="preserve"> </w:t>
      </w:r>
      <w:r>
        <w:t xml:space="preserve">Introduce a 'Green Pharmacy' program (e.g., refillable containers, e-waste collection) to appeal to Sydney's environmentally conscious consumers while reducing operational costs by 12%.</w:t>
      </w:r>
    </w:p>
    <w:bookmarkEnd w:id="30"/>
    <w:bookmarkStart w:id="31" w:name="conclusion"/>
    <w:p>
      <w:pPr>
        <w:pStyle w:val="Heading2"/>
      </w:pPr>
      <w:r>
        <w:t xml:space="preserve">Conclusion</w:t>
      </w:r>
    </w:p>
    <w:p>
      <w:pPr>
        <w:pStyle w:val="FirstParagraph"/>
      </w:pPr>
      <w:r>
        <w:t xml:space="preserve">This Sales Report underscores the critical role of the Pharmacist as a clinical leader within Australia Sydney's healthcare system. By leveraging our professional expertise in medication management and preventive health, this pharmacy has not only achieved exceptional financial performance but also contributed meaningfully to community health outcomes. The 12.7% revenue growth – significantly outpacing Sydney's retail sector average of 5.3% (ABS, Q3 2023) – demonstrates that patient-centric pharmacy services are both clinically valuable and commercially viable in Australia.</w:t>
      </w:r>
    </w:p>
    <w:p>
      <w:pPr>
        <w:pStyle w:val="BodyText"/>
      </w:pPr>
      <w:r>
        <w:t xml:space="preserve">As the only pharmacy within a 1.5km radius serving a diverse population including CBD workers, elderly residents, and migrant communities, we maintain our commitment to delivering the highest standards of care as mandated by AHPRA (Australian Health Practitioner Regulation Agency). Our success proves that when Pharmacist expertise is integrated into community health services – particularly in high-density urban environments like Sydney – it drives measurable improvements in both business performance and population health metrics. We recommend expanding this model across our network to further strengthen Australia's primary healthcare infrastructure.</w:t>
      </w:r>
    </w:p>
    <w:p>
      <w:pPr>
        <w:pStyle w:val="BodyText"/>
      </w:pPr>
      <w:r>
        <w:rPr>
          <w:bCs/>
          <w:b/>
        </w:rPr>
        <w:t xml:space="preserve">Prepared by:</w:t>
      </w:r>
      <w:r>
        <w:t xml:space="preserve"> </w:t>
      </w:r>
      <w:r>
        <w:t xml:space="preserve">Dr. Eleanor Chen, RPh, Grad Dip Clin Pharmacy</w:t>
      </w:r>
      <w:r>
        <w:br/>
      </w:r>
      <w:r>
        <w:rPr>
          <w:iCs/>
          <w:i/>
        </w:rPr>
        <w:t xml:space="preserve">Senior Pharmacist &amp; Operations Manager</w:t>
      </w:r>
      <w:r>
        <w:br/>
      </w:r>
      <w:r>
        <w:t xml:space="preserve">Central Sydney Community Pharmacy | NSW Registered Pharmacist #NSW123456789</w:t>
      </w:r>
    </w:p>
    <w:p>
      <w:pPr>
        <w:pStyle w:val="BodyText"/>
      </w:pPr>
      <w:r>
        <w:rPr>
          <w:iCs/>
          <w:i/>
        </w:rPr>
        <w:t xml:space="preserve">This Sales Report complies with Australian Professional Standards for Pharmacists (APS) and National Safety and Quality Health Service Standards. All data sourced from pharmacy management software (AstraPharm), PBS database, and NSW Health Community Pharmacy Program reports.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Pharmacist Sales Report: Australia Sydney - Q3 2023</dc:title>
  <dc:creator/>
  <dc:language>en</dc:language>
  <cp:keywords/>
  <dcterms:created xsi:type="dcterms:W3CDTF">2026-07-21T04:57:37Z</dcterms:created>
  <dcterms:modified xsi:type="dcterms:W3CDTF">2026-07-21T04:57:37Z</dcterms:modified>
</cp:coreProperties>
</file>

<file path=docProps/custom.xml><?xml version="1.0" encoding="utf-8"?>
<Properties xmlns="http://schemas.openxmlformats.org/officeDocument/2006/custom-properties" xmlns:vt="http://schemas.openxmlformats.org/officeDocument/2006/docPropsVTypes"/>
</file>