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p>
    <w:bookmarkStart w:id="26" w:name="Xee5babe1a3432a9594a0560d802c5dcba5578ba"/>
    <w:p>
      <w:pPr>
        <w:pStyle w:val="Heading1"/>
      </w:pPr>
      <w:r>
        <w:t xml:space="preserve">Sales Report: Pharmacist-Led Performance Analysis - Brazil Rio de Janeiro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Pharmacy Management, Brazil</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metrics of pharmacy operations across the Rio de Janeiro state, with a specific focus on how pharmacist-led clinical services directly impact overall sales volume, customer retention, and profitability. The data reveals that pharmacies where licensed Pharmacists actively engage in medication therapy management (MTM), chronic disease counseling, and health screenings consistently outperform competitors by 22-35% in key revenue streams. In the competitive Brazilian pharmaceutical landscape of Rio de Janeiro—home to over 18,000 registered pharmacies—the strategic role of the Pharmacist is no longer ancillary but central to sustainable business growth.</w:t>
      </w:r>
    </w:p>
    <w:bookmarkEnd w:id="20"/>
    <w:bookmarkStart w:id="21" w:name="Xb52a040e39d365292667f117d280b20b8bbd223"/>
    <w:p>
      <w:pPr>
        <w:pStyle w:val="Heading2"/>
      </w:pPr>
      <w:r>
        <w:t xml:space="preserve">Regional Sales Performance Overview (Rio de Janeiro State)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 (BRL)</w:t>
            </w:r>
          </w:p>
        </w:tc>
        <w:tc>
          <w:tcPr/>
          <w:p>
            <w:pPr>
              <w:pStyle w:val="Compact"/>
              <w:jc w:val="left"/>
            </w:pPr>
            <w:r>
              <w:t xml:space="preserve">% vs. Q2 2023</w:t>
            </w:r>
          </w:p>
        </w:tc>
        <w:tc>
          <w:tcPr/>
          <w:p>
            <w:pPr>
              <w:pStyle w:val="Compact"/>
              <w:jc w:val="left"/>
            </w:pPr>
            <w:r>
              <w:t xml:space="preserve">% vs. Q3 2022</w:t>
            </w:r>
          </w:p>
        </w:tc>
      </w:tr>
      <w:tr>
        <w:tc>
          <w:tcPr/>
          <w:p>
            <w:pPr>
              <w:pStyle w:val="Compact"/>
              <w:jc w:val="left"/>
            </w:pPr>
            <w:r>
              <w:t xml:space="preserve">Generic Medications (OTC &amp; Prescription)</w:t>
            </w:r>
          </w:p>
        </w:tc>
        <w:tc>
          <w:tcPr/>
          <w:p>
            <w:pPr>
              <w:pStyle w:val="Compact"/>
              <w:jc w:val="left"/>
            </w:pPr>
            <w:r>
              <w:t xml:space="preserve">R$ 18,450,000</w:t>
            </w:r>
          </w:p>
        </w:tc>
        <w:tc>
          <w:tcPr/>
          <w:p>
            <w:pPr>
              <w:pStyle w:val="Compact"/>
              <w:jc w:val="left"/>
            </w:pPr>
            <w:r>
              <w:t xml:space="preserve">+7.2%</w:t>
            </w:r>
          </w:p>
        </w:tc>
        <w:tc>
          <w:tcPr/>
          <w:p>
            <w:pPr>
              <w:pStyle w:val="Compact"/>
              <w:jc w:val="left"/>
            </w:pPr>
            <w:r>
              <w:t xml:space="preserve">+14.8%</w:t>
            </w:r>
          </w:p>
        </w:tc>
      </w:tr>
      <w:tr>
        <w:tc>
          <w:tcPr/>
          <w:p>
            <w:pPr>
              <w:pStyle w:val="Compact"/>
              <w:jc w:val="left"/>
            </w:pPr>
            <w:r>
              <w:t xml:space="preserve">Health &amp; Wellness Products</w:t>
            </w:r>
          </w:p>
        </w:tc>
        <w:tc>
          <w:tcPr/>
          <w:p>
            <w:pPr>
              <w:pStyle w:val="Compact"/>
              <w:jc w:val="left"/>
            </w:pPr>
            <w:r>
              <w:t xml:space="preserve">R$ 6,235,000</w:t>
            </w:r>
          </w:p>
        </w:tc>
        <w:tc>
          <w:tcPr/>
          <w:p>
            <w:pPr>
              <w:pStyle w:val="Compact"/>
              <w:jc w:val="left"/>
            </w:pPr>
            <w:r>
              <w:t xml:space="preserve">+12.4%</w:t>
            </w:r>
          </w:p>
        </w:tc>
        <w:tc>
          <w:tcPr/>
          <w:p>
            <w:pPr>
              <w:pStyle w:val="Compact"/>
              <w:jc w:val="left"/>
            </w:pPr>
            <w:r>
              <w:t xml:space="preserve">+29.1%</w:t>
            </w:r>
          </w:p>
        </w:tc>
      </w:tr>
      <w:tr>
        <w:tc>
          <w:tcPr/>
          <w:p>
            <w:pPr>
              <w:pStyle w:val="Compact"/>
              <w:jc w:val="left"/>
            </w:pPr>
            <w:r>
              <w:t xml:space="preserve">Pharmacist-Driven Clinical Services</w:t>
            </w:r>
          </w:p>
        </w:tc>
        <w:tc>
          <w:tcPr/>
          <w:p>
            <w:pPr>
              <w:pStyle w:val="Compact"/>
              <w:jc w:val="left"/>
            </w:pPr>
            <w:r>
              <w:t xml:space="preserve">R$ 3,875,000</w:t>
            </w:r>
          </w:p>
        </w:tc>
        <w:tc>
          <w:tcPr/>
          <w:p>
            <w:pPr>
              <w:pStyle w:val="Compact"/>
              <w:jc w:val="left"/>
            </w:pPr>
            <w:r>
              <w:t xml:space="preserve">+38.6%</w:t>
            </w:r>
          </w:p>
        </w:tc>
        <w:tc>
          <w:tcPr/>
          <w:p>
            <w:pPr>
              <w:pStyle w:val="Compact"/>
              <w:jc w:val="left"/>
            </w:pPr>
            <w:r>
              <w:t xml:space="preserve">+92.3%</w:t>
            </w:r>
          </w:p>
        </w:tc>
      </w:tr>
      <w:tr>
        <w:tc>
          <w:tcPr/>
          <w:p>
            <w:pPr>
              <w:pStyle w:val="Compact"/>
              <w:jc w:val="left"/>
            </w:pPr>
            <w:r>
              <w:rPr>
                <w:bCs/>
                <w:b/>
              </w:rPr>
              <w:t xml:space="preserve">Total Sales</w:t>
            </w:r>
          </w:p>
        </w:tc>
        <w:tc>
          <w:tcPr/>
          <w:p>
            <w:pPr>
              <w:pStyle w:val="Compact"/>
              <w:jc w:val="left"/>
            </w:pPr>
            <w:r>
              <w:rPr>
                <w:bCs/>
                <w:b/>
              </w:rPr>
              <w:t xml:space="preserve">R$ 28,560,000</w:t>
            </w:r>
          </w:p>
        </w:tc>
        <w:tc>
          <w:tcPr/>
          <w:p>
            <w:pPr>
              <w:pStyle w:val="Compact"/>
              <w:jc w:val="left"/>
            </w:pPr>
            <w:r>
              <w:t xml:space="preserve">+11.9%</w:t>
            </w:r>
          </w:p>
        </w:tc>
        <w:tc>
          <w:tcPr/>
          <w:p>
            <w:pPr>
              <w:pStyle w:val="Compact"/>
              <w:jc w:val="left"/>
            </w:pPr>
            <w:r>
              <w:t xml:space="preserve">+23.4%</w:t>
            </w:r>
          </w:p>
        </w:tc>
      </w:tr>
    </w:tbl>
    <w:p>
      <w:pPr>
        <w:pStyle w:val="BodyText"/>
      </w:pPr>
      <w:r>
        <w:rPr>
          <w:iCs/>
          <w:i/>
        </w:rPr>
        <w:t xml:space="preserve">Note: Pharmacist-Driven Clinical Services include MTM consultations, diabetes/hypertension management programs, vaccine administration (Flu &amp; Pneumococcal), and personalized medication adherence plans. Revenue reflects direct service fees + associated product sales.</w:t>
      </w:r>
    </w:p>
    <w:bookmarkEnd w:id="21"/>
    <w:bookmarkStart w:id="22" w:name="X09c716c11a30b9b51e82ec806ed7c4a929ce0f0"/>
    <w:p>
      <w:pPr>
        <w:pStyle w:val="Heading2"/>
      </w:pPr>
      <w:r>
        <w:t xml:space="preserve">The Critical Role of the Pharmacist in Rio de Janeiro's Market</w:t>
      </w:r>
    </w:p>
    <w:p>
      <w:pPr>
        <w:pStyle w:val="FirstParagraph"/>
      </w:pPr>
      <w:r>
        <w:t xml:space="preserve">Unlike traditional retail models, successful pharmacies in Rio de Janeiro are increasingly structurally designed around the Pharmacist as the primary point of care. In neighborhoods like Lapa, Copacabana, and Campo Grande—where competition is fierce—the presence of a certified Pharmacist within the dispensary (not just behind the counter) correlates directly with customer loyalty. Data from ANVISA (Brazilian Health Regulatory Agency) compliance audits shows that 87% of pharmacies with active Pharmacist-led patient education programs achieve higher renewal rates for chronic condition medications compared to those relying solely on transactional sales.</w:t>
      </w:r>
    </w:p>
    <w:p>
      <w:pPr>
        <w:pStyle w:val="BodyText"/>
      </w:pPr>
      <w:r>
        <w:t xml:space="preserve">Key drivers of the Pharmacist's impact in our Rio de Janeiro Sales Report include:</w:t>
      </w:r>
    </w:p>
    <w:p>
      <w:pPr>
        <w:numPr>
          <w:ilvl w:val="0"/>
          <w:numId w:val="1001"/>
        </w:numPr>
        <w:pStyle w:val="Compact"/>
      </w:pPr>
      <w:r>
        <w:rPr>
          <w:bCs/>
          <w:b/>
        </w:rPr>
        <w:t xml:space="preserve">Trust-Based Consultations:</w:t>
      </w:r>
      <w:r>
        <w:t xml:space="preserve"> </w:t>
      </w:r>
      <w:r>
        <w:t xml:space="preserve">Patients in Rio value personalized advice. Pharmacists who spend 15+ minutes reviewing medication regimens for elderly patients (common in high-density areas like Complexo do Alemão) increase average transaction values by 32% through targeted product recommendations.</w:t>
      </w:r>
    </w:p>
    <w:p>
      <w:pPr>
        <w:numPr>
          <w:ilvl w:val="0"/>
          <w:numId w:val="1001"/>
        </w:numPr>
        <w:pStyle w:val="Compact"/>
      </w:pPr>
      <w:r>
        <w:rPr>
          <w:bCs/>
          <w:b/>
        </w:rPr>
        <w:t xml:space="preserve">Chronic Disease Management:</w:t>
      </w:r>
      <w:r>
        <w:t xml:space="preserve"> </w:t>
      </w:r>
      <w:r>
        <w:t xml:space="preserve">Pharmacist-led programs for hypertension and diabetes (critical health concerns in Rio’s population) generated R$ 1.8M in Q3 alone, with a 65% patient retention rate over six months.</w:t>
      </w:r>
    </w:p>
    <w:p>
      <w:pPr>
        <w:numPr>
          <w:ilvl w:val="0"/>
          <w:numId w:val="1001"/>
        </w:numPr>
        <w:pStyle w:val="Compact"/>
      </w:pPr>
      <w:r>
        <w:rPr>
          <w:bCs/>
          <w:b/>
        </w:rPr>
        <w:t xml:space="preserve">Vaccination Services Expansion:</w:t>
      </w:r>
      <w:r>
        <w:t xml:space="preserve"> </w:t>
      </w:r>
      <w:r>
        <w:t xml:space="preserve">Following ANVISA's streamlined protocols for Pharmacist-administered vaccines, sales of flu and pneumococcal vaccines grew by 41% year-over-year in Rio. Pharmacists directly manage inventory and client scheduling, turning a service into a revenue stream.</w:t>
      </w:r>
    </w:p>
    <w:p>
      <w:pPr>
        <w:numPr>
          <w:ilvl w:val="0"/>
          <w:numId w:val="1001"/>
        </w:numPr>
        <w:pStyle w:val="Compact"/>
      </w:pPr>
      <w:r>
        <w:rPr>
          <w:bCs/>
          <w:b/>
        </w:rPr>
        <w:t xml:space="preserve">OTC Cross-Selling:</w:t>
      </w:r>
      <w:r>
        <w:t xml:space="preserve"> </w:t>
      </w:r>
      <w:r>
        <w:t xml:space="preserve">A trained Pharmacist identifying an uncontrolled blood pressure reading during a routine OTC purchase led to an average 28% increase in subsequent sales of antihypertensive medications and associated monitoring tools (e.g., blood pressure cuffs, glucometers).</w:t>
      </w:r>
    </w:p>
    <w:bookmarkEnd w:id="22"/>
    <w:bookmarkStart w:id="23" w:name="X8288188d0680241da7a94ea9bd58727dd63fa75"/>
    <w:p>
      <w:pPr>
        <w:pStyle w:val="Heading2"/>
      </w:pPr>
      <w:r>
        <w:t xml:space="preserve">Challenges Facing the Pharmacist in Rio de Janeiro</w:t>
      </w:r>
    </w:p>
    <w:p>
      <w:pPr>
        <w:pStyle w:val="FirstParagraph"/>
      </w:pPr>
      <w:r>
        <w:t xml:space="preserve">The Sales Report also identifies critical challenges impacting Pharmacist efficacy and sales performance:</w:t>
      </w:r>
    </w:p>
    <w:p>
      <w:pPr>
        <w:numPr>
          <w:ilvl w:val="0"/>
          <w:numId w:val="1002"/>
        </w:numPr>
        <w:pStyle w:val="Compact"/>
      </w:pPr>
      <w:r>
        <w:rPr>
          <w:bCs/>
          <w:b/>
        </w:rPr>
        <w:t xml:space="preserve">Regulatory Fragmentation:</w:t>
      </w:r>
      <w:r>
        <w:t xml:space="preserve"> </w:t>
      </w:r>
      <w:r>
        <w:t xml:space="preserve">Varying municipal health department requirements across Rio’s 14 municipalities (e.g., stricter data entry rules in Niterói vs. Rio City) complicate consistent service delivery, reducing potential revenue hours.</w:t>
      </w:r>
    </w:p>
    <w:p>
      <w:pPr>
        <w:numPr>
          <w:ilvl w:val="0"/>
          <w:numId w:val="1002"/>
        </w:numPr>
        <w:pStyle w:val="Compact"/>
      </w:pPr>
      <w:r>
        <w:rPr>
          <w:bCs/>
          <w:b/>
        </w:rPr>
        <w:t xml:space="preserve">Staffing Shortages:</w:t>
      </w:r>
      <w:r>
        <w:t xml:space="preserve"> </w:t>
      </w:r>
      <w:r>
        <w:t xml:space="preserve">63% of surveyed pharmacies in Greater Rio report Pharmacist vacancies lasting &gt;3 months, directly limiting clinical service capacity and sales opportunities. This is a major bottleneck for growth.</w:t>
      </w:r>
    </w:p>
    <w:p>
      <w:pPr>
        <w:numPr>
          <w:ilvl w:val="0"/>
          <w:numId w:val="1002"/>
        </w:numPr>
        <w:pStyle w:val="Compact"/>
      </w:pPr>
      <w:r>
        <w:rPr>
          <w:bCs/>
          <w:b/>
        </w:rPr>
        <w:t xml:space="preserve">Price Pressure on Generics:</w:t>
      </w:r>
      <w:r>
        <w:t xml:space="preserve"> </w:t>
      </w:r>
      <w:r>
        <w:t xml:space="preserve">Aggressive competition from discount chains (e.g., Droga Raia) forces margin compression on core pharmaceuticals, making Pharmacist-driven services the only sustainable profit lever.</w:t>
      </w:r>
    </w:p>
    <w:bookmarkEnd w:id="23"/>
    <w:bookmarkStart w:id="24" w:name="X27d2595a881dae405f247df7f5cea71a73e00c8"/>
    <w:p>
      <w:pPr>
        <w:pStyle w:val="Heading2"/>
      </w:pPr>
      <w:r>
        <w:t xml:space="preserve">Strategic Recommendations for Maximizing Pharmacist-Driven Sales</w:t>
      </w:r>
    </w:p>
    <w:p>
      <w:pPr>
        <w:pStyle w:val="FirstParagraph"/>
      </w:pPr>
      <w:r>
        <w:t xml:space="preserve">Based on this Q3 Sales Report, we recommend the following actions to strengthen pharmacy profitability in Brazil's Rio de Janeiro market:</w:t>
      </w:r>
    </w:p>
    <w:p>
      <w:pPr>
        <w:numPr>
          <w:ilvl w:val="0"/>
          <w:numId w:val="1003"/>
        </w:numPr>
        <w:pStyle w:val="Compact"/>
      </w:pPr>
      <w:r>
        <w:rPr>
          <w:bCs/>
          <w:b/>
        </w:rPr>
        <w:t xml:space="preserve">Invest in Pharmacist Training:</w:t>
      </w:r>
      <w:r>
        <w:t xml:space="preserve"> </w:t>
      </w:r>
      <w:r>
        <w:t xml:space="preserve">Allocate dedicated budget for certified clinical training (e.g., ANVISA-recognized MTM programs). A pharmacist trained in diabetes management can increase chronic care revenue by 40% within 6 months.</w:t>
      </w:r>
    </w:p>
    <w:p>
      <w:pPr>
        <w:numPr>
          <w:ilvl w:val="0"/>
          <w:numId w:val="1003"/>
        </w:numPr>
        <w:pStyle w:val="Compact"/>
      </w:pPr>
      <w:r>
        <w:rPr>
          <w:bCs/>
          <w:b/>
        </w:rPr>
        <w:t xml:space="preserve">Leverage Technology:</w:t>
      </w:r>
      <w:r>
        <w:t xml:space="preserve"> </w:t>
      </w:r>
      <w:r>
        <w:t xml:space="preserve">Implement pharmacy management systems with integrated telehealth modules for remote Pharmacist consultations (critical for patients in favelas like Rocinha, where transportation barriers exist). This expands service reach without physical space constraints.</w:t>
      </w:r>
    </w:p>
    <w:p>
      <w:pPr>
        <w:numPr>
          <w:ilvl w:val="0"/>
          <w:numId w:val="1003"/>
        </w:numPr>
        <w:pStyle w:val="Compact"/>
      </w:pPr>
      <w:r>
        <w:rPr>
          <w:bCs/>
          <w:b/>
        </w:rPr>
        <w:t xml:space="preserve">Build Community Partnerships:</w:t>
      </w:r>
      <w:r>
        <w:t xml:space="preserve"> </w:t>
      </w:r>
      <w:r>
        <w:t xml:space="preserve">Collaborate with local health centers (UBS) in Rio de Janeiro to co-host screenings. The Sales Report shows pharmacies partnering with UBS saw a 50% higher foot traffic during community health days, directly boosting sales of related products.</w:t>
      </w:r>
    </w:p>
    <w:p>
      <w:pPr>
        <w:numPr>
          <w:ilvl w:val="0"/>
          <w:numId w:val="1003"/>
        </w:numPr>
        <w:pStyle w:val="Compact"/>
      </w:pPr>
      <w:r>
        <w:rPr>
          <w:bCs/>
          <w:b/>
        </w:rPr>
        <w:t xml:space="preserve">Pricing Strategy for Services:</w:t>
      </w:r>
      <w:r>
        <w:t xml:space="preserve"> </w:t>
      </w:r>
      <w:r>
        <w:t xml:space="preserve">Introduce tiered service fees (Basic Consultation: R$ 15; Comprehensive MTM: R$ 45) recognized under ANVISA’s new clinical services framework. This monetizes the Pharmacist's expertise directly.</w:t>
      </w:r>
    </w:p>
    <w:bookmarkEnd w:id="24"/>
    <w:bookmarkStart w:id="25" w:name="conclusion"/>
    <w:p>
      <w:pPr>
        <w:pStyle w:val="Heading2"/>
      </w:pPr>
      <w:r>
        <w:t xml:space="preserve">Conclusion</w:t>
      </w:r>
    </w:p>
    <w:p>
      <w:pPr>
        <w:pStyle w:val="FirstParagraph"/>
      </w:pPr>
      <w:r>
        <w:t xml:space="preserve">This comprehensive Sales Report underscores an undeniable truth for the pharmaceutical industry in Brazil Rio de Janeiro: The licensed Pharmacist is not merely a dispenser of medication, but the central revenue generator for modern, sustainable pharmacy businesses. In a market where generic drug margins are shrinking and customer expectations are rising, pharmacies that strategically deploy their Pharmacists as clinical advisors—not just technicians—achieve significant competitive advantage. The data from Q3 2023 shows Pharmacist-led clinical services now contribute over 13% of total revenue in high-performing Rio de Janeiro outlets, a figure projected to reach 25% by end-2024 if current trends continue. For any pharmacy leader in Brazil seeking long-term viability, prioritizing the Pharmacist’s role in service design and sales strategy is no longer optional—it is the cornerstone of growth.</w:t>
      </w:r>
    </w:p>
    <w:p>
      <w:pPr>
        <w:pStyle w:val="BodyText"/>
      </w:pPr>
      <w:r>
        <w:rPr>
          <w:bCs/>
          <w:b/>
        </w:rPr>
        <w:t xml:space="preserve">Prepared By:</w:t>
      </w:r>
      <w:r>
        <w:t xml:space="preserve"> </w:t>
      </w:r>
      <w:r>
        <w:t xml:space="preserve">National Pharmacy Performance Analytics Team</w:t>
      </w:r>
      <w:r>
        <w:br/>
      </w:r>
      <w:r>
        <w:rPr>
          <w:bCs/>
          <w:b/>
        </w:rPr>
        <w:t xml:space="preserve">Contact:</w:t>
      </w:r>
      <w:r>
        <w:t xml:space="preserve"> </w:t>
      </w:r>
      <w:r>
        <w:t xml:space="preserve">analytics@pharmacybrasil.com</w:t>
      </w:r>
      <w:r>
        <w:br/>
      </w:r>
      <w:r>
        <w:rPr>
          <w:bCs/>
          <w:b/>
        </w:rPr>
        <w:t xml:space="preserve">Acknowledgements:</w:t>
      </w:r>
      <w:r>
        <w:t xml:space="preserve"> </w:t>
      </w:r>
      <w:r>
        <w:t xml:space="preserve">Data sourced from ANVISA, IBGE (Brazilian Institute of Geography and Statistics), and proprietary pharmacy management system logs across 420 pharmacies in Rio de Janeiro state.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Brazil Rio de Janeiro Market</dc:title>
  <dc:creator/>
  <dc:language>en</dc:language>
  <cp:keywords/>
  <dcterms:created xsi:type="dcterms:W3CDTF">2026-07-23T13:23:57Z</dcterms:created>
  <dcterms:modified xsi:type="dcterms:W3CDTF">2026-07-23T13:23:57Z</dcterms:modified>
</cp:coreProperties>
</file>

<file path=docProps/custom.xml><?xml version="1.0" encoding="utf-8"?>
<Properties xmlns="http://schemas.openxmlformats.org/officeDocument/2006/custom-properties" xmlns:vt="http://schemas.openxmlformats.org/officeDocument/2006/docPropsVTypes"/>
</file>