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Pharmacist-Driven</w:t>
      </w:r>
      <w:r>
        <w:t xml:space="preserve"> </w:t>
      </w:r>
      <w:r>
        <w:t xml:space="preserve">Growth</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b1a55cc08b93f0bf0066bca776841a1edfbdfe5"/>
    <w:p>
      <w:pPr>
        <w:pStyle w:val="Heading1"/>
      </w:pPr>
      <w:r>
        <w:t xml:space="preserve">Q3 2023 Sales Performance Report: Pharmacist-Centric Strategy in Beijing's Pharmaceutical Sector</w:t>
      </w:r>
    </w:p>
    <w:bookmarkStart w:id="20" w:name="executive-summary"/>
    <w:p>
      <w:pPr>
        <w:pStyle w:val="Heading2"/>
      </w:pPr>
      <w:r>
        <w:t xml:space="preserve">Executive Summary</w:t>
      </w:r>
    </w:p>
    <w:p>
      <w:pPr>
        <w:pStyle w:val="FirstParagraph"/>
      </w:pPr>
      <w:r>
        <w:t xml:space="preserve">This comprehensive Sales Report details the third-quarter performance of our pharmaceutical distribution network across China Beijing, with special emphasis on the pivotal role of clinical pharmacists in driving sustainable revenue growth. The report confirms a 19.7% year-over-year increase in pharmacy sales volume, directly attributable to enhanced pharmacist-led patient engagement initiatives implemented throughout Beijing's urban and suburban districts. This performance significantly outpaces the national average growth rate of 8.3% for the same period, positioning our organization as a leader in China's evolving healthcare landscape where pharmacist expertise is increasingly valued.</w:t>
      </w:r>
    </w:p>
    <w:bookmarkEnd w:id="20"/>
    <w:bookmarkStart w:id="21" w:name="beijing-market-context"/>
    <w:p>
      <w:pPr>
        <w:pStyle w:val="Heading2"/>
      </w:pPr>
      <w:r>
        <w:t xml:space="preserve">Beijing Market Context</w:t>
      </w:r>
    </w:p>
    <w:p>
      <w:pPr>
        <w:pStyle w:val="FirstParagraph"/>
      </w:pPr>
      <w:r>
        <w:t xml:space="preserve">Operating within China Beijing requires nuanced understanding of the city's unique regulatory environment and consumer behavior patterns. As the political and economic capital of China, Beijing hosts over 870 licensed community pharmacies under strict National Medical Products Administration (NMPA) guidelines. The 2023 Beijing Pharmaceutical Market Report indicates a growing demand for specialized pharmacist services, particularly in chronic disease management—a critical need given the city's rapidly aging population (19.8% aged 65+). Our Beijing operations strategically aligned with the National Health Commission's "Pharmacist Service Quality Improvement Plan" launched in January 2023, which mandates pharmacist-led consultations for all prescription medications.</w:t>
      </w:r>
    </w:p>
    <w:bookmarkEnd w:id="21"/>
    <w:bookmarkStart w:id="22" w:name="X57e1840ae71d41d432ec2b8cf96c0a5ce5f707b"/>
    <w:p>
      <w:pPr>
        <w:pStyle w:val="Heading2"/>
      </w:pPr>
      <w:r>
        <w:t xml:space="preserve">Key Sales Performance Metrics (Beijing Region, Q3 2023)</w:t>
      </w:r>
    </w:p>
    <w:p>
      <w:pPr>
        <w:pStyle w:val="FirstParagraph"/>
      </w:pPr>
      <w:r>
        <w:t xml:space="preserve">Product Category</w:t>
      </w:r>
    </w:p>
    <w:p>
      <w:pPr>
        <w:pStyle w:val="BodyText"/>
      </w:pPr>
      <w:r>
        <w:t xml:space="preserve">Sales Volume (Q3 2023)</w:t>
      </w:r>
    </w:p>
    <w:p>
      <w:pPr>
        <w:pStyle w:val="BodyText"/>
      </w:pPr>
      <w:r>
        <w:t xml:space="preserve">% YoY Growth</w:t>
      </w:r>
    </w:p>
    <w:p>
      <w:pPr>
        <w:pStyle w:val="BodyText"/>
      </w:pPr>
      <w:r>
        <w:t xml:space="preserve">Pharmacist-Driven Contribution</w:t>
      </w:r>
    </w:p>
    <w:p>
      <w:pPr>
        <w:pStyle w:val="BodyText"/>
      </w:pPr>
      <w:r>
        <w:t xml:space="preserve">Chronic Disease Management Kits (Diabetes/Hypertension)</w:t>
      </w:r>
    </w:p>
    <w:p>
      <w:pPr>
        <w:pStyle w:val="BodyText"/>
      </w:pPr>
      <w:r>
        <w:t xml:space="preserve">CNY 18.7M</w:t>
      </w:r>
    </w:p>
    <w:p>
      <w:pPr>
        <w:pStyle w:val="BodyText"/>
      </w:pPr>
      <w:r>
        <w:t xml:space="preserve">32.4%</w:t>
      </w:r>
    </w:p>
    <w:p>
      <w:pPr>
        <w:pStyle w:val="BodyText"/>
      </w:pPr>
      <w:r>
        <w:t xml:space="preserve">68% of sales through pharmacist consultations</w:t>
      </w:r>
    </w:p>
    <w:p>
      <w:pPr>
        <w:pStyle w:val="BodyText"/>
      </w:pPr>
      <w:r>
        <w:t xml:space="preserve">OTC Wellness Products (Vitamins/Supplements)</w:t>
      </w:r>
    </w:p>
    <w:p>
      <w:pPr>
        <w:pStyle w:val="BodyText"/>
      </w:pPr>
      <w:r>
        <w:t xml:space="preserve">CNY 9.2M</w:t>
      </w:r>
    </w:p>
    <w:p>
      <w:pPr>
        <w:pStyle w:val="BodyText"/>
      </w:pPr>
      <w:r>
        <w:t xml:space="preserve">17.1%</w:t>
      </w:r>
    </w:p>
    <w:p>
      <w:pPr>
        <w:pStyle w:val="BodyText"/>
      </w:pPr>
      <w:r>
        <w:t xml:space="preserve">54% of sales with personalized pharmacist recommendations</w:t>
      </w:r>
    </w:p>
    <w:p>
      <w:pPr>
        <w:pStyle w:val="BodyText"/>
      </w:pPr>
      <w:r>
        <w:t xml:space="preserve">Generic Prescription Medications</w:t>
      </w:r>
    </w:p>
    <w:p>
      <w:pPr>
        <w:pStyle w:val="BodyText"/>
      </w:pPr>
      <w:r>
        <w:t xml:space="preserve">CNY 34.5M</w:t>
      </w:r>
    </w:p>
    <w:p>
      <w:pPr>
        <w:pStyle w:val="BodyText"/>
      </w:pPr>
      <w:r>
        <w:t xml:space="preserve">12.6%</w:t>
      </w:r>
    </w:p>
    <w:p>
      <w:pPr>
        <w:pStyle w:val="BodyText"/>
      </w:pPr>
      <w:r>
        <w:t xml:space="preserve">73% of prescriptions accompanied by pharmacist counseling sessions</w:t>
      </w:r>
    </w:p>
    <w:p>
      <w:pPr>
        <w:pStyle w:val="BodyText"/>
      </w:pPr>
      <w:r>
        <w:t xml:space="preserve">Total Beijing Pharmacy Sales</w:t>
      </w:r>
    </w:p>
    <w:p>
      <w:pPr>
        <w:pStyle w:val="BodyText"/>
      </w:pPr>
      <w:r>
        <w:t xml:space="preserve">CNY 62.4M</w:t>
      </w:r>
    </w:p>
    <w:p>
      <w:pPr>
        <w:pStyle w:val="BodyText"/>
      </w:pPr>
      <w:r>
        <w:t xml:space="preserve">19.7%</w:t>
      </w:r>
    </w:p>
    <w:p>
      <w:pPr>
        <w:pStyle w:val="BodyText"/>
      </w:pPr>
      <w:r>
        <w:t xml:space="preserve">Average 45% higher customer retention rate with pharmacist engagement</w:t>
      </w:r>
    </w:p>
    <w:bookmarkEnd w:id="22"/>
    <w:bookmarkStart w:id="23" w:name="X82b3e4b65b7bf25cdf6183849e0f3406cd5d1cb"/>
    <w:p>
      <w:pPr>
        <w:pStyle w:val="Heading2"/>
      </w:pPr>
      <w:r>
        <w:t xml:space="preserve">The Pharmacist as Strategic Sales Driver in Beijing</w:t>
      </w:r>
    </w:p>
    <w:p>
      <w:pPr>
        <w:pStyle w:val="FirstParagraph"/>
      </w:pPr>
      <w:r>
        <w:t xml:space="preserve">This Sales Report underscores the transformative impact of clinical pharmacists beyond traditional dispensing roles. In China Beijing, our 147 certified pharmacists implemented standardized patient counseling protocols across 63 partner pharmacies in key districts (Haidian, Chaoyang, Fengtai). This initiative directly contributed to a 27% increase in cross-selling opportunities for therapeutic products and a 34% reduction in customer medication errors—both directly influencing sales conversion rates. Notably, pharmacist-led adherence programs for cardiovascular patients achieved a 92% compliance rate compared to the industry average of 68%, translating into consistent repeat purchases.</w:t>
      </w:r>
    </w:p>
    <w:p>
      <w:pPr>
        <w:pStyle w:val="BodyText"/>
      </w:pPr>
      <w:r>
        <w:t xml:space="preserve">Our Beijing pharmacy network leveraged the NMPA's new "Pharmacist-Consultation Fee" pilot program (effective Q2 2023) to monetize clinical expertise. Each pharmacist consultation generated an average of CNY 15 revenue through value-based service fees, creating a sustainable revenue stream while elevating professional perception. This model aligns perfectly with Beijing's healthcare reform goals under the "Healthy China 2030" initiative, where pharmacists are positioned as essential primary care partners rather than just product distributors.</w:t>
      </w:r>
    </w:p>
    <w:bookmarkEnd w:id="23"/>
    <w:bookmarkStart w:id="24" w:name="Xaf489bfdcb20e9d819da3be080a1e210fdead20"/>
    <w:p>
      <w:pPr>
        <w:pStyle w:val="Heading2"/>
      </w:pPr>
      <w:r>
        <w:t xml:space="preserve">Beijing-Specific Market Challenges &amp; Adaptations</w:t>
      </w:r>
    </w:p>
    <w:p>
      <w:pPr>
        <w:pStyle w:val="FirstParagraph"/>
      </w:pPr>
      <w:r>
        <w:t xml:space="preserve">The Q3 report identifies two critical market dynamics unique to China Beijing:</w:t>
      </w:r>
    </w:p>
    <w:p>
      <w:pPr>
        <w:numPr>
          <w:ilvl w:val="0"/>
          <w:numId w:val="1001"/>
        </w:numPr>
        <w:pStyle w:val="Compact"/>
      </w:pPr>
      <w:r>
        <w:rPr>
          <w:bCs/>
          <w:b/>
        </w:rPr>
        <w:t xml:space="preserve">Density of Competition:</w:t>
      </w:r>
      <w:r>
        <w:t xml:space="preserve"> </w:t>
      </w:r>
      <w:r>
        <w:t xml:space="preserve">With 4.8 pharmacies per 10,000 residents in central Beijing, we differentiated through pharmacist credentialing—72% of our pharmacists hold Master's degrees in Clinical Pharmacy (vs. national average of 41%), enabling evidence-based recommendations that build trust in a crowded market.</w:t>
      </w:r>
    </w:p>
    <w:p>
      <w:pPr>
        <w:numPr>
          <w:ilvl w:val="0"/>
          <w:numId w:val="1001"/>
        </w:numPr>
        <w:pStyle w:val="Compact"/>
      </w:pPr>
      <w:r>
        <w:rPr>
          <w:bCs/>
          <w:b/>
        </w:rPr>
        <w:t xml:space="preserve">Regulatory Complexity:</w:t>
      </w:r>
      <w:r>
        <w:t xml:space="preserve"> </w:t>
      </w:r>
      <w:r>
        <w:t xml:space="preserve">Strict NMPA requirements for OTC-to-Prescription transitions necessitated pharmacist training on the new "Beijing Medication Safety Framework." This resulted in 0 compliance violations across all pharmacies during Q3, directly protecting sales continuity.</w:t>
      </w:r>
    </w:p>
    <w:bookmarkEnd w:id="24"/>
    <w:bookmarkStart w:id="25" w:name="Xaccd84ddcefef89025658801b347c3c2610066a"/>
    <w:p>
      <w:pPr>
        <w:pStyle w:val="Heading2"/>
      </w:pPr>
      <w:r>
        <w:t xml:space="preserve">Sales Strategy Recommendations for Beijing's Future</w:t>
      </w:r>
    </w:p>
    <w:p>
      <w:pPr>
        <w:pStyle w:val="FirstParagraph"/>
      </w:pPr>
      <w:r>
        <w:t xml:space="preserve">Based on this Sales Report, we recommend three pharmacist-focused initiatives for Beijing operations:</w:t>
      </w:r>
    </w:p>
    <w:p>
      <w:pPr>
        <w:numPr>
          <w:ilvl w:val="0"/>
          <w:numId w:val="1002"/>
        </w:numPr>
        <w:pStyle w:val="Compact"/>
      </w:pPr>
      <w:r>
        <w:rPr>
          <w:bCs/>
          <w:b/>
        </w:rPr>
        <w:t xml:space="preserve">Expand Pharmacist-Managed Chronic Care Clinics:</w:t>
      </w:r>
      <w:r>
        <w:t xml:space="preserve"> </w:t>
      </w:r>
      <w:r>
        <w:t xml:space="preserve">Partner with 15 additional community health centers in suburban Beijing (e.g., Changping, Daxing) to integrate our pharmacists into tiered healthcare networks. Projected impact: CNY 8.4M incremental revenue by Q2 2024.</w:t>
      </w:r>
    </w:p>
    <w:p>
      <w:pPr>
        <w:numPr>
          <w:ilvl w:val="0"/>
          <w:numId w:val="1002"/>
        </w:numPr>
        <w:pStyle w:val="Compact"/>
      </w:pPr>
      <w:r>
        <w:rPr>
          <w:bCs/>
          <w:b/>
        </w:rPr>
        <w:t xml:space="preserve">Develop AI-Assisted Pharmacist Tools:</w:t>
      </w:r>
      <w:r>
        <w:t xml:space="preserve"> </w:t>
      </w:r>
      <w:r>
        <w:t xml:space="preserve">Implement localized prescription analysis software that predicts patient adherence gaps (e.g., for elderly Beijing residents). Expected outcome: 15% higher therapeutic product retention rates.</w:t>
      </w:r>
    </w:p>
    <w:p>
      <w:pPr>
        <w:numPr>
          <w:ilvl w:val="0"/>
          <w:numId w:val="1002"/>
        </w:numPr>
        <w:pStyle w:val="Compact"/>
      </w:pPr>
      <w:r>
        <w:rPr>
          <w:bCs/>
          <w:b/>
        </w:rPr>
        <w:t xml:space="preserve">Mandate Pharmacist Leadership in OTC Merchandising:</w:t>
      </w:r>
      <w:r>
        <w:t xml:space="preserve"> </w:t>
      </w:r>
      <w:r>
        <w:t xml:space="preserve">Train all pharmacy staff on pharmacist-led product placement strategies at the point-of-sale. Pilot data shows this increases impulse buys by 22% for wellness categories.</w:t>
      </w:r>
    </w:p>
    <w:bookmarkEnd w:id="25"/>
    <w:bookmarkStart w:id="26" w:name="conclusion"/>
    <w:p>
      <w:pPr>
        <w:pStyle w:val="Heading2"/>
      </w:pPr>
      <w:r>
        <w:t xml:space="preserve">Conclusion</w:t>
      </w:r>
    </w:p>
    <w:p>
      <w:pPr>
        <w:pStyle w:val="FirstParagraph"/>
      </w:pPr>
      <w:r>
        <w:t xml:space="preserve">This Sales Report unequivocally demonstrates that in China Beijing's sophisticated pharmaceutical market, the pharmacist is no longer a support function but the core catalyst for revenue growth. Our Q3 results—driven by 147 highly trained pharmacists across the city—prove that integrating clinical expertise with commercial strategy delivers superior financial performance and aligns with national healthcare priorities. As Beijing continues to modernize its pharmaceutical services under China's medical reform agenda, pharmacies centered on pharmacist-led care will dominate market share. We project our Beijing region to capture 22% of the city's chronic disease management market by end-2024, setting a benchmark for nationwide replication. The future of pharmacy sales in China is not just about products—it's about empowered pharmacists driving patient outcomes and revenue simultaneously.</w:t>
      </w:r>
    </w:p>
    <w:p>
      <w:pPr>
        <w:pStyle w:val="BodyText"/>
      </w:pPr>
      <w:r>
        <w:rPr>
          <w:bCs/>
          <w:b/>
        </w:rPr>
        <w:t xml:space="preserve">Prepared By:</w:t>
      </w:r>
      <w:r>
        <w:t xml:space="preserve"> </w:t>
      </w:r>
      <w:r>
        <w:t xml:space="preserve">National Sales Analytics Team</w:t>
      </w:r>
      <w:r>
        <w:br/>
      </w:r>
      <w:r>
        <w:rPr>
          <w:bCs/>
          <w:b/>
        </w:rPr>
        <w:t xml:space="preserve">For:</w:t>
      </w:r>
      <w:r>
        <w:t xml:space="preserve"> </w:t>
      </w:r>
      <w:r>
        <w:t xml:space="preserve">Beijing Regional Management Council, China</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Pharmacist-Driven Growth in China Beijing Market</dc:title>
  <dc:creator/>
  <cp:keywords/>
  <dcterms:created xsi:type="dcterms:W3CDTF">2026-07-21T14:07:49Z</dcterms:created>
  <dcterms:modified xsi:type="dcterms:W3CDTF">2026-07-21T14:07:49Z</dcterms:modified>
</cp:coreProperties>
</file>

<file path=docProps/custom.xml><?xml version="1.0" encoding="utf-8"?>
<Properties xmlns="http://schemas.openxmlformats.org/officeDocument/2006/custom-properties" xmlns:vt="http://schemas.openxmlformats.org/officeDocument/2006/docPropsVTypes"/>
</file>