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p>
    <w:bookmarkStart w:id="28" w:name="X2b32feede6389654e62812700caa7820df73798"/>
    <w:p>
      <w:pPr>
        <w:pStyle w:val="Heading1"/>
      </w:pPr>
      <w:r>
        <w:t xml:space="preserve">Comprehensive Sales Performance Report for Pharmacy Operations in China Shanghai</w:t>
      </w:r>
    </w:p>
    <w:bookmarkStart w:id="20" w:name="X828ec2ebf8bbcfc799820d8e67312eaa8322227"/>
    <w:p>
      <w:pPr>
        <w:pStyle w:val="Heading2"/>
      </w:pPr>
      <w:r>
        <w:t xml:space="preserve">Prepared For: Management Team, Shanghai Pharmaceutical Division</w:t>
      </w:r>
    </w:p>
    <w:p>
      <w:pPr>
        <w:pStyle w:val="FirstParagraph"/>
      </w:pPr>
      <w:r>
        <w:rPr>
          <w:bCs/>
          <w:b/>
        </w:rPr>
        <w:t xml:space="preserve">Date:</w:t>
      </w:r>
      <w:r>
        <w:t xml:space="preserve"> </w:t>
      </w:r>
      <w:r>
        <w:t xml:space="preserve">October 26, 2023 |</w:t>
      </w:r>
      <w:r>
        <w:t xml:space="preserve"> </w:t>
      </w:r>
      <w:r>
        <w:rPr>
          <w:bCs/>
          <w:b/>
        </w:rPr>
        <w:t xml:space="preserve">Period Covered:</w:t>
      </w:r>
      <w:r>
        <w:t xml:space="preserve"> </w:t>
      </w:r>
      <w:r>
        <w:t xml:space="preserve">Q3 2023 (July - September)</w:t>
      </w:r>
    </w:p>
    <w:bookmarkEnd w:id="20"/>
    <w:bookmarkStart w:id="21" w:name="i.-executive-summary"/>
    <w:p>
      <w:pPr>
        <w:pStyle w:val="Heading2"/>
      </w:pPr>
      <w:r>
        <w:t xml:space="preserve">I. Executive Summary</w:t>
      </w:r>
    </w:p>
    <w:p>
      <w:pPr>
        <w:pStyle w:val="FirstParagraph"/>
      </w:pPr>
      <w:r>
        <w:t xml:space="preserve">This Sales Report details the performance metrics of our pharmacy network across China Shanghai during the third quarter of 2023. As a leading pharmaceutical retail entity serving metropolitan Shanghai, we have achieved significant growth in prescription fulfillment, OTC sales, and clinical service adoption. The dedicated efforts of our certified Pharmacists were instrumental in navigating regulatory complexities while delivering exceptional patient care—a critical success factor in China's evolving healthcare landscape. This report confirms that strategic pharmacist engagement has directly contributed to a 14.7% year-over-year revenue increase amid intensified market competition.</w:t>
      </w:r>
    </w:p>
    <w:bookmarkEnd w:id="21"/>
    <w:bookmarkStart w:id="22" w:name="ii.-sales-performance-overview"/>
    <w:p>
      <w:pPr>
        <w:pStyle w:val="Heading2"/>
      </w:pPr>
      <w:r>
        <w:t xml:space="preserve">II. Sales Performance Overview</w:t>
      </w:r>
    </w:p>
    <w:p>
      <w:pPr>
        <w:pStyle w:val="FirstParagraph"/>
      </w:pPr>
      <w:r>
        <w:t xml:space="preserve">China Shanghai's pharmacy sector demonstrated robust resilience during Q3, with our consolidated sales reaching ¥8.97 million (up 14.7% YoY). Key drivers included:</w:t>
      </w:r>
    </w:p>
    <w:p>
      <w:pPr>
        <w:numPr>
          <w:ilvl w:val="0"/>
          <w:numId w:val="1001"/>
        </w:numPr>
        <w:pStyle w:val="Compact"/>
      </w:pPr>
      <w:r>
        <w:rPr>
          <w:bCs/>
          <w:b/>
        </w:rPr>
        <w:t xml:space="preserve">Prescription Volume:</w:t>
      </w:r>
      <w:r>
        <w:t xml:space="preserve"> </w:t>
      </w:r>
      <w:r>
        <w:t xml:space="preserve">+18.2% YoY (32,650 scripts filled)</w:t>
      </w:r>
    </w:p>
    <w:p>
      <w:pPr>
        <w:numPr>
          <w:ilvl w:val="0"/>
          <w:numId w:val="1001"/>
        </w:numPr>
        <w:pStyle w:val="Compact"/>
      </w:pPr>
      <w:r>
        <w:rPr>
          <w:bCs/>
          <w:b/>
        </w:rPr>
        <w:t xml:space="preserve">OTC Revenue:</w:t>
      </w:r>
      <w:r>
        <w:t xml:space="preserve"> </w:t>
      </w:r>
      <w:r>
        <w:t xml:space="preserve">¥3.41 million (+12.5%)</w:t>
      </w:r>
    </w:p>
    <w:p>
      <w:pPr>
        <w:numPr>
          <w:ilvl w:val="0"/>
          <w:numId w:val="1001"/>
        </w:numPr>
        <w:pStyle w:val="Compact"/>
      </w:pPr>
      <w:r>
        <w:rPr>
          <w:bCs/>
          <w:b/>
        </w:rPr>
        <w:t xml:space="preserve">Clinical Service Uptake:</w:t>
      </w:r>
      <w:r>
        <w:t xml:space="preserve"> </w:t>
      </w:r>
      <w:r>
        <w:t xml:space="preserve">47% of customers utilized pharmacist consultations</w:t>
      </w:r>
    </w:p>
    <w:p>
      <w:pPr>
        <w:pStyle w:val="FirstParagraph"/>
      </w:pPr>
      <w:r>
        <w:t xml:space="preserve">The Shanghai market's growth rate (14.7%) exceeded the national average (9.3%), positioning us as a leader in China's pharmaceutical retail sector. This momentum directly results from our pharmacist-centered service model, which aligns with Shanghai Municipal Healthcare Bureau directives promoting clinical pharmacy services.</w:t>
      </w:r>
    </w:p>
    <w:bookmarkEnd w:id="22"/>
    <w:bookmarkStart w:id="23" w:name="iii.-pharmacist-impact-analysis"/>
    <w:p>
      <w:pPr>
        <w:pStyle w:val="Heading2"/>
      </w:pPr>
      <w:r>
        <w:t xml:space="preserve">III. Pharmacist Impact Analysis</w:t>
      </w:r>
    </w:p>
    <w:p>
      <w:pPr>
        <w:pStyle w:val="FirstParagraph"/>
      </w:pPr>
      <w:r>
        <w:t xml:space="preserve">Our 47 certified Pharmacists across 15 Shanghai locations were pivotal to this success through three key initiatives:</w:t>
      </w:r>
    </w:p>
    <w:p>
      <w:pPr>
        <w:numPr>
          <w:ilvl w:val="0"/>
          <w:numId w:val="1002"/>
        </w:numPr>
        <w:pStyle w:val="Compact"/>
      </w:pPr>
      <w:r>
        <w:rPr>
          <w:bCs/>
          <w:b/>
        </w:rPr>
        <w:t xml:space="preserve">Patient Medication Adherence Programs:</w:t>
      </w:r>
      <w:r>
        <w:t xml:space="preserve"> </w:t>
      </w:r>
      <w:r>
        <w:t xml:space="preserve">Pharmacists implemented personalized follow-up systems for chronic conditions (hypertension, diabetes). Result: 32% reduction in prescription abandonment rates and 25% increase in refill orders.</w:t>
      </w:r>
    </w:p>
    <w:p>
      <w:pPr>
        <w:numPr>
          <w:ilvl w:val="0"/>
          <w:numId w:val="1002"/>
        </w:numPr>
        <w:pStyle w:val="Compact"/>
      </w:pPr>
      <w:r>
        <w:rPr>
          <w:bCs/>
          <w:b/>
        </w:rPr>
        <w:t xml:space="preserve">OTC Product Education:</w:t>
      </w:r>
      <w:r>
        <w:t xml:space="preserve"> </w:t>
      </w:r>
      <w:r>
        <w:t xml:space="preserve">Certified Pharmacists conducted daily "Wellness Consultations" for seasonal products (allergy relief, cold care). This drove a 34% increase in high-margin OTC category sales while reducing inappropriate product returns.</w:t>
      </w:r>
    </w:p>
    <w:p>
      <w:pPr>
        <w:numPr>
          <w:ilvl w:val="0"/>
          <w:numId w:val="1002"/>
        </w:numPr>
        <w:pStyle w:val="Compact"/>
      </w:pPr>
      <w:r>
        <w:rPr>
          <w:bCs/>
          <w:b/>
        </w:rPr>
        <w:t xml:space="preserve">Digital Integration:</w:t>
      </w:r>
      <w:r>
        <w:t xml:space="preserve"> </w:t>
      </w:r>
      <w:r>
        <w:t xml:space="preserve">Pharmacists trained customers on our WeChat-based medication management platform. 89% of active users reported improved adherence—directly contributing to 22% higher customer retention.</w:t>
      </w:r>
    </w:p>
    <w:p>
      <w:pPr>
        <w:pStyle w:val="FirstParagraph"/>
      </w:pPr>
      <w:r>
        <w:t xml:space="preserve">Notably, Shanghai's stringent pharmaceutical regulations (e.g., Drug Administration Law Amendment) required pharmacists to undergo quarterly compliance training. Our Pharmacist team achieved 100% certification renewal rates in Q3—critical for maintaining operational licenses across Shanghai's 9 districts.</w:t>
      </w:r>
    </w:p>
    <w:bookmarkEnd w:id="23"/>
    <w:bookmarkStart w:id="24" w:name="iv.-market-dynamics-in-china-shanghai"/>
    <w:p>
      <w:pPr>
        <w:pStyle w:val="Heading2"/>
      </w:pPr>
      <w:r>
        <w:t xml:space="preserve">IV. Market Dynamics in China Shanghai</w:t>
      </w:r>
    </w:p>
    <w:p>
      <w:pPr>
        <w:pStyle w:val="FirstParagraph"/>
      </w:pPr>
      <w:r>
        <w:t xml:space="preserve">Shanghai's pharmacy market faces unique challenges requiring specialized pharmacist expertise:</w:t>
      </w:r>
    </w:p>
    <w:p>
      <w:pPr>
        <w:numPr>
          <w:ilvl w:val="0"/>
          <w:numId w:val="1003"/>
        </w:numPr>
        <w:pStyle w:val="Compact"/>
      </w:pPr>
      <w:r>
        <w:rPr>
          <w:bCs/>
          <w:b/>
        </w:rPr>
        <w:t xml:space="preserve">Regulatory Pressures:</w:t>
      </w:r>
      <w:r>
        <w:t xml:space="preserve"> </w:t>
      </w:r>
      <w:r>
        <w:t xml:space="preserve">New requirements for electronic prescription validation (effective July 2023) necessitated pharmacist-led workflow redesigns. Our team reduced prescription processing time by 41% through optimized digital protocols.</w:t>
      </w:r>
    </w:p>
    <w:p>
      <w:pPr>
        <w:numPr>
          <w:ilvl w:val="0"/>
          <w:numId w:val="1003"/>
        </w:numPr>
        <w:pStyle w:val="Compact"/>
      </w:pPr>
      <w:r>
        <w:rPr>
          <w:bCs/>
          <w:b/>
        </w:rPr>
        <w:t xml:space="preserve">Competitive Landscape:</w:t>
      </w:r>
      <w:r>
        <w:t xml:space="preserve"> </w:t>
      </w:r>
      <w:r>
        <w:t xml:space="preserve">With 38% market share held by large chains (e.g., Tong Ren Tang, Kangmei), our pharmacist-driven clinical services differentiate us—evidenced by 67% customer satisfaction scores versus industry average of 52%.</w:t>
      </w:r>
    </w:p>
    <w:p>
      <w:pPr>
        <w:numPr>
          <w:ilvl w:val="0"/>
          <w:numId w:val="1003"/>
        </w:numPr>
        <w:pStyle w:val="Compact"/>
      </w:pPr>
      <w:r>
        <w:rPr>
          <w:bCs/>
          <w:b/>
        </w:rPr>
        <w:t xml:space="preserve">Demographic Shifts:</w:t>
      </w:r>
      <w:r>
        <w:t xml:space="preserve"> </w:t>
      </w:r>
      <w:r>
        <w:t xml:space="preserve">Shanghai's aging population (18.9% aged 60+) increased demand for chronic disease management services, where our Pharmacist-led clinics saw 53% YoY growth.</w:t>
      </w:r>
    </w:p>
    <w:bookmarkEnd w:id="24"/>
    <w:bookmarkStart w:id="25" w:name="v.-challenges-and-solutions"/>
    <w:p>
      <w:pPr>
        <w:pStyle w:val="Heading2"/>
      </w:pPr>
      <w:r>
        <w:t xml:space="preserve">V. Challenges and Solutions</w:t>
      </w:r>
    </w:p>
    <w:p>
      <w:pPr>
        <w:pStyle w:val="FirstParagraph"/>
      </w:pPr>
      <w:r>
        <w:t xml:space="preserve">Key challenges identified in China Shanghai included:</w:t>
      </w:r>
    </w:p>
    <w:p>
      <w:pPr>
        <w:numPr>
          <w:ilvl w:val="0"/>
          <w:numId w:val="1004"/>
        </w:numPr>
        <w:pStyle w:val="Compact"/>
      </w:pPr>
      <w:r>
        <w:rPr>
          <w:bCs/>
          <w:b/>
        </w:rPr>
        <w:t xml:space="preserve">Staffing Shortages:</w:t>
      </w:r>
      <w:r>
        <w:t xml:space="preserve"> </w:t>
      </w:r>
      <w:r>
        <w:t xml:space="preserve">Shanghai's pharmacist-to-population ratio (1:5,000) lags behind WHO recommendations (1:4,000). Solution: Partnered with Fudan University to establish a pharmacy internship program; 8 new graduates onboarded in Q3.</w:t>
      </w:r>
    </w:p>
    <w:p>
      <w:pPr>
        <w:numPr>
          <w:ilvl w:val="0"/>
          <w:numId w:val="1004"/>
        </w:numPr>
        <w:pStyle w:val="Compact"/>
      </w:pPr>
      <w:r>
        <w:rPr>
          <w:bCs/>
          <w:b/>
        </w:rPr>
        <w:t xml:space="preserve">Supply Chain Disruptions:</w:t>
      </w:r>
      <w:r>
        <w:t xml:space="preserve"> </w:t>
      </w:r>
      <w:r>
        <w:t xml:space="preserve">Global shortages of specialty medications impacted Shanghai inventory. Pharmacist teams implemented real-time demand forecasting using historical sales data, reducing stockouts by 27%.</w:t>
      </w:r>
    </w:p>
    <w:bookmarkEnd w:id="25"/>
    <w:bookmarkStart w:id="26" w:name="vi.-strategic-recommendations-for-q4"/>
    <w:p>
      <w:pPr>
        <w:pStyle w:val="Heading2"/>
      </w:pPr>
      <w:r>
        <w:t xml:space="preserve">VI. Strategic Recommendations for Q4</w:t>
      </w:r>
    </w:p>
    <w:p>
      <w:pPr>
        <w:pStyle w:val="FirstParagraph"/>
      </w:pPr>
      <w:r>
        <w:t xml:space="preserve">To sustain growth in China Shanghai, we recommend:</w:t>
      </w:r>
    </w:p>
    <w:p>
      <w:pPr>
        <w:numPr>
          <w:ilvl w:val="0"/>
          <w:numId w:val="1005"/>
        </w:numPr>
        <w:pStyle w:val="Compact"/>
      </w:pPr>
      <w:r>
        <w:rPr>
          <w:bCs/>
          <w:b/>
        </w:rPr>
        <w:t xml:space="preserve">Expand Pharmacist-Led Health Screenings:</w:t>
      </w:r>
      <w:r>
        <w:t xml:space="preserve"> </w:t>
      </w:r>
      <w:r>
        <w:t xml:space="preserve">Partner with local community centers to offer blood pressure/cholesterol checks (target: 150+ monthly screenings in Pudong district).</w:t>
      </w:r>
    </w:p>
    <w:p>
      <w:pPr>
        <w:numPr>
          <w:ilvl w:val="0"/>
          <w:numId w:val="1005"/>
        </w:numPr>
        <w:pStyle w:val="Compact"/>
      </w:pPr>
      <w:r>
        <w:rPr>
          <w:bCs/>
          <w:b/>
        </w:rPr>
        <w:t xml:space="preserve">Leverage Shanghai's Digital Ecosystem:</w:t>
      </w:r>
      <w:r>
        <w:t xml:space="preserve"> </w:t>
      </w:r>
      <w:r>
        <w:t xml:space="preserve">Integrate with "Shanghai Healthcare Cloud" platform for seamless prescription sharing between hospitals and pharmacies.</w:t>
      </w:r>
    </w:p>
    <w:p>
      <w:pPr>
        <w:numPr>
          <w:ilvl w:val="0"/>
          <w:numId w:val="1005"/>
        </w:numPr>
        <w:pStyle w:val="Compact"/>
      </w:pPr>
      <w:r>
        <w:rPr>
          <w:bCs/>
          <w:b/>
        </w:rPr>
        <w:t xml:space="preserve">Certify 10 Additional Pharmacists in Geriatric Care:</w:t>
      </w:r>
      <w:r>
        <w:t xml:space="preserve"> </w:t>
      </w:r>
      <w:r>
        <w:t xml:space="preserve">Address Shanghai's rapidly aging population through specialized training (aligned with Municipal Health Department guidelines).</w:t>
      </w:r>
    </w:p>
    <w:bookmarkEnd w:id="26"/>
    <w:bookmarkStart w:id="27" w:name="vii.-conclusion"/>
    <w:p>
      <w:pPr>
        <w:pStyle w:val="Heading2"/>
      </w:pPr>
      <w:r>
        <w:t xml:space="preserve">VII. Conclusion</w:t>
      </w:r>
    </w:p>
    <w:p>
      <w:pPr>
        <w:pStyle w:val="FirstParagraph"/>
      </w:pPr>
      <w:r>
        <w:t xml:space="preserve">This Sales Report confirms that our Pharmacist-centric model is the cornerstone of success in China Shanghai's competitive pharmaceutical market. The 14.7% revenue growth directly correlates with pharmacist engagement metrics—proving that clinical expertise drives both commercial results and patient outcomes. As Shanghai advances its "Healthy City 2035" initiative, our Pharmacy team is positioned to become a benchmark for integrated healthcare delivery in China.</w:t>
      </w:r>
    </w:p>
    <w:p>
      <w:pPr>
        <w:pStyle w:val="BodyText"/>
      </w:pPr>
      <w:r>
        <w:t xml:space="preserve">Continued investment in Pharmacist development, regulatory compliance, and digital service innovation will be essential to maintaining our leadership position. We project Q4 revenue growth of 12-15% based on current traction from pharmacist-led initiatives and expanding partnerships with Shanghai's municipal health institutions.</w:t>
      </w:r>
    </w:p>
    <w:p>
      <w:pPr>
        <w:pStyle w:val="BodyText"/>
      </w:pPr>
      <w:r>
        <w:rPr>
          <w:bCs/>
          <w:b/>
        </w:rPr>
        <w:t xml:space="preserve">Prepared By:</w:t>
      </w:r>
      <w:r>
        <w:t xml:space="preserve"> </w:t>
      </w:r>
      <w:r>
        <w:t xml:space="preserve">Pharmacy Operations Analytics Team | Shanghai Sales Division</w:t>
      </w:r>
    </w:p>
    <w:p>
      <w:pPr>
        <w:pStyle w:val="BodyText"/>
      </w:pPr>
      <w:r>
        <w:rPr>
          <w:iCs/>
          <w:i/>
        </w:rPr>
        <w:t xml:space="preserve">This report complies with China Pharmaceutical Quality Management Standards (CPQS) and Shanghai Health Bureau reporting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Sales Performance Report: China Shanghai</dc:title>
  <dc:creator/>
  <dc:language>en</dc:language>
  <cp:keywords/>
  <dcterms:created xsi:type="dcterms:W3CDTF">2026-07-21T07:25:04Z</dcterms:created>
  <dcterms:modified xsi:type="dcterms:W3CDTF">2026-07-21T07:25:04Z</dcterms:modified>
</cp:coreProperties>
</file>

<file path=docProps/custom.xml><?xml version="1.0" encoding="utf-8"?>
<Properties xmlns="http://schemas.openxmlformats.org/officeDocument/2006/custom-properties" xmlns:vt="http://schemas.openxmlformats.org/officeDocument/2006/docPropsVTypes"/>
</file>