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Pharmaceutical</w:t>
      </w:r>
      <w:r>
        <w:t xml:space="preserve"> </w:t>
      </w:r>
      <w:r>
        <w:t xml:space="preserve">Sales</w:t>
      </w:r>
      <w:r>
        <w:t xml:space="preserve"> </w:t>
      </w:r>
      <w:r>
        <w:t xml:space="preserve">Performance</w:t>
      </w:r>
      <w:r>
        <w:t xml:space="preserve"> </w:t>
      </w:r>
      <w:r>
        <w:t xml:space="preserve">Report:</w:t>
      </w:r>
      <w:r>
        <w:t xml:space="preserve"> </w:t>
      </w:r>
      <w:r>
        <w:t xml:space="preserve">Medellín,</w:t>
      </w:r>
      <w:r>
        <w:t xml:space="preserve"> </w:t>
      </w:r>
      <w:r>
        <w:t xml:space="preserve">Colombia</w:t>
      </w:r>
    </w:p>
    <w:bookmarkStart w:id="28" w:name="X2b5b4ce7a23b9a2b33541f5e7cbb0abc83a7913"/>
    <w:p>
      <w:pPr>
        <w:pStyle w:val="Heading1"/>
      </w:pPr>
      <w:r>
        <w:t xml:space="preserve">Pharmaceutical Sales Performance Report: Q3 2023 - Pharmacist-Led Operations in Medellín, Colombia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Pharmacy Management Team &amp; Regional Stakeholders |</w:t>
      </w:r>
      <w:r>
        <w:t xml:space="preserve"> </w:t>
      </w:r>
      <w:r>
        <w:rPr>
          <w:bCs/>
          <w:b/>
        </w:rPr>
        <w:t xml:space="preserve">Location Focus:</w:t>
      </w:r>
      <w:r>
        <w:t xml:space="preserve"> </w:t>
      </w:r>
      <w:r>
        <w:t xml:space="preserve">Medellín, Colombia</w:t>
      </w:r>
    </w:p>
    <w:bookmarkStart w:id="20" w:name="i.-executive-summary"/>
    <w:p>
      <w:pPr>
        <w:pStyle w:val="Heading2"/>
      </w:pPr>
      <w:r>
        <w:t xml:space="preserve">I. Executive Summary</w:t>
      </w:r>
    </w:p>
    <w:p>
      <w:pPr>
        <w:pStyle w:val="FirstParagraph"/>
      </w:pPr>
      <w:r>
        <w:t xml:space="preserve">This comprehensive Sales Report details the performance of pharmacy operations across Medellín, Colombia during the third quarter of 2023. As a cornerstone of healthcare delivery in Colombia's second-largest city, our pharmacies demonstrated resilient growth amid evolving regulatory landscapes and community health needs. The Pharmacist-led clinical advisory model proved instrumental in driving both sales volume and patient satisfaction metrics. Total revenue reached COP 485 million (≈USD $115,000), representing a 12.7% year-over-year increase. This success directly reflects the strategic integration of clinical expertise by the Pharmacist into inventory management, patient education, and community health initiatives specific to Medellín's demographic profile.</w:t>
      </w:r>
    </w:p>
    <w:bookmarkEnd w:id="20"/>
    <w:bookmarkStart w:id="21" w:name="X80036bfb18336044c3db00cb7f6a8d107cfe2e7"/>
    <w:p>
      <w:pPr>
        <w:pStyle w:val="Heading2"/>
      </w:pPr>
      <w:r>
        <w:t xml:space="preserve">II. Regional Market Context: Colombia Medellín</w:t>
      </w:r>
    </w:p>
    <w:p>
      <w:pPr>
        <w:pStyle w:val="FirstParagraph"/>
      </w:pPr>
      <w:r>
        <w:t xml:space="preserve">Medellín's unique urban geography—nestled in a valley with 10 distinct Comunas (neighborhoods)—creates diverse healthcare demands. The city's population of 2.5 million, with high rates of cardiovascular and respiratory conditions (per Colombia's Ministry of Health 2023 data), necessitates hyper-localized inventory strategies. In Q3, we observed:</w:t>
      </w:r>
    </w:p>
    <w:p>
      <w:pPr>
        <w:numPr>
          <w:ilvl w:val="0"/>
          <w:numId w:val="1001"/>
        </w:numPr>
        <w:pStyle w:val="Compact"/>
      </w:pPr>
      <w:r>
        <w:rPr>
          <w:bCs/>
          <w:b/>
        </w:rPr>
        <w:t xml:space="preserve">Comuna 13 Focus:</w:t>
      </w:r>
      <w:r>
        <w:t xml:space="preserve"> </w:t>
      </w:r>
      <w:r>
        <w:t xml:space="preserve">A 28% surge in antihypertensives driven by pharmacist-led hypertension screening events at community centers.</w:t>
      </w:r>
    </w:p>
    <w:p>
      <w:pPr>
        <w:numPr>
          <w:ilvl w:val="0"/>
          <w:numId w:val="1001"/>
        </w:numPr>
        <w:pStyle w:val="Compact"/>
      </w:pPr>
      <w:r>
        <w:rPr>
          <w:bCs/>
          <w:b/>
        </w:rPr>
        <w:t xml:space="preserve">El Poblado &amp; Envigado Demand:</w:t>
      </w:r>
      <w:r>
        <w:t xml:space="preserve"> </w:t>
      </w:r>
      <w:r>
        <w:t xml:space="preserve">Premium skincare and dermatology products grew by 35%, aligning with the high socioeconomic population's focus on preventive care.</w:t>
      </w:r>
    </w:p>
    <w:p>
      <w:pPr>
        <w:numPr>
          <w:ilvl w:val="0"/>
          <w:numId w:val="1001"/>
        </w:numPr>
        <w:pStyle w:val="Compact"/>
      </w:pPr>
      <w:r>
        <w:rPr>
          <w:bCs/>
          <w:b/>
        </w:rPr>
        <w:t xml:space="preserve">Rural Satellite Clinics:</w:t>
      </w:r>
      <w:r>
        <w:t xml:space="preserve"> </w:t>
      </w:r>
      <w:r>
        <w:t xml:space="preserve">Pharmacist coordination with ESE (Entidades Prestadoras de Salud) clinics in rural Medellín outskirts boosted OTC diabetes supplies by 22%.</w:t>
      </w:r>
    </w:p>
    <w:bookmarkEnd w:id="21"/>
    <w:bookmarkStart w:id="24" w:name="Xf34bf3fff135bf7202d87bb20e689dd67764e5b"/>
    <w:p>
      <w:pPr>
        <w:pStyle w:val="Heading2"/>
      </w:pPr>
      <w:r>
        <w:t xml:space="preserve">III. Pharmacist-Driven Sales Performance Analysis</w:t>
      </w:r>
    </w:p>
    <w:p>
      <w:pPr>
        <w:pStyle w:val="FirstParagraph"/>
      </w:pPr>
      <w:r>
        <w:t xml:space="preserve">The role of the Colombian-licensed Pharmacist transcended dispensing duties; their clinical insights directly shaped sales outcomes. Key initiatives included:</w:t>
      </w:r>
    </w:p>
    <w:bookmarkStart w:id="22" w:name="a.-clinical-consultation-integration"/>
    <w:p>
      <w:pPr>
        <w:pStyle w:val="Heading3"/>
      </w:pPr>
      <w:r>
        <w:t xml:space="preserve">A. Clinical Consultation Integration</w:t>
      </w:r>
    </w:p>
    <w:p>
      <w:pPr>
        <w:pStyle w:val="FirstParagraph"/>
      </w:pPr>
      <w:r>
        <w:t xml:space="preserve">Our Pharmacists implemented mandatory 15-minute post-purchase consultations (aligned with Colombia's Resolution 2978/2016). This led to:</w:t>
      </w:r>
    </w:p>
    <w:p>
      <w:pPr>
        <w:numPr>
          <w:ilvl w:val="0"/>
          <w:numId w:val="1002"/>
        </w:numPr>
        <w:pStyle w:val="Compact"/>
      </w:pPr>
      <w:r>
        <w:rPr>
          <w:bCs/>
          <w:b/>
        </w:rPr>
        <w:t xml:space="preserve">Product Cross-Sell Rate:</w:t>
      </w:r>
      <w:r>
        <w:t xml:space="preserve"> </w:t>
      </w:r>
      <w:r>
        <w:t xml:space="preserve">Increased by 34% (e.g., recommending magnesium supplements alongside hypertension medications).</w:t>
      </w:r>
    </w:p>
    <w:p>
      <w:pPr>
        <w:numPr>
          <w:ilvl w:val="0"/>
          <w:numId w:val="1002"/>
        </w:numPr>
        <w:pStyle w:val="Compact"/>
      </w:pPr>
      <w:r>
        <w:rPr>
          <w:bCs/>
          <w:b/>
        </w:rPr>
        <w:t xml:space="preserve">Brand Loyalty:</w:t>
      </w:r>
      <w:r>
        <w:t xml:space="preserve"> </w:t>
      </w:r>
      <w:r>
        <w:t xml:space="preserve">78% of customers who received clinical counseling returned within 30 days (vs. 52% industry average).</w:t>
      </w:r>
    </w:p>
    <w:p>
      <w:pPr>
        <w:numPr>
          <w:ilvl w:val="0"/>
          <w:numId w:val="1002"/>
        </w:numPr>
        <w:pStyle w:val="Compact"/>
      </w:pPr>
      <w:r>
        <w:rPr>
          <w:bCs/>
          <w:b/>
        </w:rPr>
        <w:t xml:space="preserve">Reduced Returns:</w:t>
      </w:r>
      <w:r>
        <w:t xml:space="preserve"> </w:t>
      </w:r>
      <w:r>
        <w:t xml:space="preserve">Prescription error-related returns dropped by 41% due to pharmacist verification.</w:t>
      </w:r>
    </w:p>
    <w:bookmarkEnd w:id="22"/>
    <w:bookmarkStart w:id="23" w:name="b.-category-performance-highlights"/>
    <w:p>
      <w:pPr>
        <w:pStyle w:val="Heading3"/>
      </w:pPr>
      <w:r>
        <w:t xml:space="preserve">B. Category Performance Highlights</w:t>
      </w:r>
    </w:p>
    <w:p>
      <w:pPr>
        <w:pStyle w:val="FirstParagraph"/>
      </w:pPr>
      <w:r>
        <w:rPr>
          <w:iCs/>
          <w:i/>
        </w:rPr>
        <w:t xml:space="preserve">(Data sourced from Medellín-specific pharmacy POS systems,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(COP)</w:t>
            </w:r>
          </w:p>
        </w:tc>
        <w:tc>
          <w:tcPr/>
          <w:p>
            <w:pPr>
              <w:pStyle w:val="Compact"/>
              <w:jc w:val="left"/>
            </w:pPr>
            <w:r>
              <w:t xml:space="preserve">% YoY Growth</w:t>
            </w:r>
          </w:p>
        </w:tc>
        <w:tc>
          <w:tcPr/>
          <w:p>
            <w:pPr>
              <w:pStyle w:val="Compact"/>
              <w:jc w:val="left"/>
            </w:pPr>
            <w:r>
              <w:t xml:space="preserve">Key Pharmacist-Driven Factor</w:t>
            </w:r>
          </w:p>
        </w:tc>
      </w:tr>
      <w:tr>
        <w:tc>
          <w:tcPr/>
          <w:p>
            <w:pPr>
              <w:pStyle w:val="Compact"/>
              <w:jc w:val="left"/>
            </w:pPr>
            <w:r>
              <w:t xml:space="preserve">Chronic Disease Management (Antihypertensives, Diabetics)</w:t>
            </w:r>
          </w:p>
        </w:tc>
        <w:tc>
          <w:tcPr/>
          <w:p>
            <w:pPr>
              <w:pStyle w:val="Compact"/>
              <w:jc w:val="left"/>
            </w:pPr>
            <w:r>
              <w:t xml:space="preserve">215,000,000</w:t>
            </w:r>
          </w:p>
        </w:tc>
        <w:tc>
          <w:tcPr/>
          <w:p>
            <w:pPr>
              <w:pStyle w:val="Compact"/>
              <w:jc w:val="left"/>
            </w:pPr>
            <w:r>
              <w:t xml:space="preserve">+18.3%</w:t>
            </w:r>
          </w:p>
        </w:tc>
        <w:tc>
          <w:tcPr/>
          <w:p>
            <w:pPr>
              <w:pStyle w:val="Compact"/>
              <w:jc w:val="left"/>
            </w:pPr>
            <w:r>
              <w:t xml:space="preserve">Clinical screening in Comuna 13; personalized dosing plans</w:t>
            </w:r>
          </w:p>
        </w:tc>
      </w:tr>
      <w:tr>
        <w:tc>
          <w:tcPr/>
          <w:p>
            <w:pPr>
              <w:pStyle w:val="Compact"/>
              <w:jc w:val="left"/>
            </w:pPr>
            <w:r>
              <w:t xml:space="preserve">Dermatology &amp; Cosmeceuticals</w:t>
            </w:r>
          </w:p>
        </w:tc>
        <w:tc>
          <w:tcPr/>
          <w:p>
            <w:pPr>
              <w:pStyle w:val="Compact"/>
              <w:jc w:val="left"/>
            </w:pPr>
            <w:r>
              <w:t xml:space="preserve">98,500,000</w:t>
            </w:r>
          </w:p>
        </w:tc>
        <w:tc>
          <w:tcPr/>
          <w:p>
            <w:pPr>
              <w:pStyle w:val="Compact"/>
              <w:jc w:val="left"/>
            </w:pPr>
            <w:r>
              <w:t xml:space="preserve">+27.6%</w:t>
            </w:r>
          </w:p>
        </w:tc>
        <w:tc>
          <w:tcPr/>
          <w:p>
            <w:pPr>
              <w:pStyle w:val="Compact"/>
              <w:jc w:val="left"/>
            </w:pPr>
            <w:r>
              <w:t xml:space="preserve">Pharmacist-led skin health workshops in El Poblado malls</w:t>
            </w:r>
          </w:p>
        </w:tc>
      </w:tr>
      <w:tr>
        <w:tc>
          <w:tcPr/>
          <w:p>
            <w:pPr>
              <w:pStyle w:val="Compact"/>
              <w:jc w:val="left"/>
            </w:pPr>
            <w:r>
              <w:t xml:space="preserve">Pediatric Formulations</w:t>
            </w:r>
          </w:p>
        </w:tc>
        <w:tc>
          <w:tcPr/>
          <w:p>
            <w:pPr>
              <w:pStyle w:val="Compact"/>
              <w:jc w:val="left"/>
            </w:pPr>
            <w:r>
              <w:t xml:space="preserve">67,200,000</w:t>
            </w:r>
          </w:p>
        </w:tc>
        <w:tc>
          <w:tcPr/>
          <w:p>
            <w:pPr>
              <w:pStyle w:val="Compact"/>
              <w:jc w:val="left"/>
            </w:pPr>
            <w:r>
              <w:t xml:space="preserve">+9.1%</w:t>
            </w:r>
          </w:p>
        </w:tc>
        <w:tc>
          <w:tcPr/>
          <w:p>
            <w:pPr>
              <w:pStyle w:val="Compact"/>
              <w:jc w:val="left"/>
            </w:pPr>
            <w:r>
              <w:t xml:space="preserve">Collaboration with Medellín public health clinics on vaccination campaigns</w:t>
            </w:r>
          </w:p>
        </w:tc>
      </w:tr>
      <w:tr>
        <w:tc>
          <w:tcPr/>
          <w:p>
            <w:pPr>
              <w:pStyle w:val="Compact"/>
              <w:jc w:val="left"/>
            </w:pPr>
            <w:r>
              <w:t xml:space="preserve">OTC Pain &amp; Cold Remedies</w:t>
            </w:r>
          </w:p>
        </w:tc>
        <w:tc>
          <w:tcPr/>
          <w:p>
            <w:pPr>
              <w:pStyle w:val="Compact"/>
              <w:jc w:val="left"/>
            </w:pPr>
            <w:r>
              <w:t xml:space="preserve">54,300,000</w:t>
            </w:r>
          </w:p>
        </w:tc>
        <w:tc>
          <w:tcPr/>
          <w:p>
            <w:pPr>
              <w:pStyle w:val="Compact"/>
              <w:jc w:val="left"/>
            </w:pPr>
            <w:r>
              <w:t xml:space="preserve">+6.8%</w:t>
            </w:r>
          </w:p>
        </w:tc>
        <w:tc>
          <w:tcPr/>
          <w:p>
            <w:pPr>
              <w:pStyle w:val="Compact"/>
              <w:jc w:val="left"/>
            </w:pPr>
            <w:r>
              <w:t xml:space="preserve">Seasonal allergy awareness push by Pharmacists during dry season</w:t>
            </w:r>
          </w:p>
        </w:tc>
      </w:tr>
    </w:tbl>
    <w:bookmarkEnd w:id="23"/>
    <w:bookmarkEnd w:id="24"/>
    <w:bookmarkStart w:id="25" w:name="Xd8d0ba116e824f384818bd3853cb8d1a990be2a"/>
    <w:p>
      <w:pPr>
        <w:pStyle w:val="Heading2"/>
      </w:pPr>
      <w:r>
        <w:t xml:space="preserve">IV. Challenges Specific to Colombia Medellín Operations</w:t>
      </w:r>
    </w:p>
    <w:p>
      <w:pPr>
        <w:pStyle w:val="FirstParagraph"/>
      </w:pPr>
      <w:r>
        <w:t xml:space="preserve">While growth was robust, localized challenges required Pharmacist-led solutions:</w:t>
      </w:r>
    </w:p>
    <w:p>
      <w:pPr>
        <w:numPr>
          <w:ilvl w:val="0"/>
          <w:numId w:val="1003"/>
        </w:numPr>
        <w:pStyle w:val="Compact"/>
      </w:pPr>
      <w:r>
        <w:rPr>
          <w:bCs/>
          <w:b/>
        </w:rPr>
        <w:t xml:space="preserve">Supply Chain Disruptions:</w:t>
      </w:r>
      <w:r>
        <w:t xml:space="preserve"> </w:t>
      </w:r>
      <w:r>
        <w:t xml:space="preserve">Inflationary pressures on imported antibiotics (common in Medellín's private clinics) were mitigated by Pharmacists identifying local Colombian alternatives approved by INVIMA.</w:t>
      </w:r>
    </w:p>
    <w:p>
      <w:pPr>
        <w:numPr>
          <w:ilvl w:val="0"/>
          <w:numId w:val="1003"/>
        </w:numPr>
        <w:pStyle w:val="Compact"/>
      </w:pPr>
      <w:r>
        <w:rPr>
          <w:bCs/>
          <w:b/>
        </w:rPr>
        <w:t xml:space="preserve">Cultural Health Literacy:</w:t>
      </w:r>
      <w:r>
        <w:t xml:space="preserve"> </w:t>
      </w:r>
      <w:r>
        <w:t xml:space="preserve">In Comuna 13, Pharmacists developed visual medication guides in Spanish/English for elderly patients—reducing missed doses by 29%.</w:t>
      </w:r>
    </w:p>
    <w:p>
      <w:pPr>
        <w:numPr>
          <w:ilvl w:val="0"/>
          <w:numId w:val="1003"/>
        </w:numPr>
        <w:pStyle w:val="Compact"/>
      </w:pPr>
      <w:r>
        <w:rPr>
          <w:bCs/>
          <w:b/>
        </w:rPr>
        <w:t xml:space="preserve">Regulatory Compliance:</w:t>
      </w:r>
      <w:r>
        <w:t xml:space="preserve"> </w:t>
      </w:r>
      <w:r>
        <w:t xml:space="preserve">Adherence to Colombia's Law 1437 (Pharmacist scope of practice) required constant Pharmacist training; our team achieved 100% compliance in Q3 audits.</w:t>
      </w:r>
    </w:p>
    <w:bookmarkEnd w:id="25"/>
    <w:bookmarkStart w:id="26" w:name="Xf82ab952543e46405241bbbd371811508a2727b"/>
    <w:p>
      <w:pPr>
        <w:pStyle w:val="Heading2"/>
      </w:pPr>
      <w:r>
        <w:t xml:space="preserve">V. Strategic Recommendations for Next Quarter</w:t>
      </w:r>
    </w:p>
    <w:p>
      <w:pPr>
        <w:pStyle w:val="FirstParagraph"/>
      </w:pPr>
      <w:r>
        <w:t xml:space="preserve">Based on this Sales Report, we propose three pharmacist-centric initiatives for Medellín operations:</w:t>
      </w:r>
    </w:p>
    <w:p>
      <w:pPr>
        <w:numPr>
          <w:ilvl w:val="0"/>
          <w:numId w:val="1004"/>
        </w:numPr>
        <w:pStyle w:val="Compact"/>
      </w:pPr>
      <w:r>
        <w:rPr>
          <w:bCs/>
          <w:b/>
        </w:rPr>
        <w:t xml:space="preserve">Expand Mobile Pharmacy Services:</w:t>
      </w:r>
      <w:r>
        <w:t xml:space="preserve"> </w:t>
      </w:r>
      <w:r>
        <w:t xml:space="preserve">Equip Pharmacists with tablet-based inventory tools to conduct "Pharmacy-to-Door" consultations in high-density Comunas (e.g., La América), targeting 20% market penetration by Q1 2024.</w:t>
      </w:r>
    </w:p>
    <w:p>
      <w:pPr>
        <w:numPr>
          <w:ilvl w:val="0"/>
          <w:numId w:val="1004"/>
        </w:numPr>
        <w:pStyle w:val="Compact"/>
      </w:pPr>
      <w:r>
        <w:rPr>
          <w:bCs/>
          <w:b/>
        </w:rPr>
        <w:t xml:space="preserve">Leverage Digital Health Platforms:</w:t>
      </w:r>
      <w:r>
        <w:t xml:space="preserve"> </w:t>
      </w:r>
      <w:r>
        <w:t xml:space="preserve">Partner with Colombia's SISBEN database to identify at-risk patients (e.g., diabetic individuals in rural Medellín) for targeted Pharmacist outreach, projected to increase chronic care revenue by 15%.</w:t>
      </w:r>
    </w:p>
    <w:p>
      <w:pPr>
        <w:numPr>
          <w:ilvl w:val="0"/>
          <w:numId w:val="1004"/>
        </w:numPr>
        <w:pStyle w:val="Compact"/>
      </w:pPr>
      <w:r>
        <w:rPr>
          <w:bCs/>
          <w:b/>
        </w:rPr>
        <w:t xml:space="preserve">Pharmacist Certification Program:</w:t>
      </w:r>
      <w:r>
        <w:t xml:space="preserve"> </w:t>
      </w:r>
      <w:r>
        <w:t xml:space="preserve">Invest in specialized training for our Pharmacists on Colombia's latest health reforms (e.g., Resolution 0029/2023 on telepharmacy), positioning them as industry thought leaders to attract premium partnerships with private insurers like Sura and Sanitas.</w:t>
      </w:r>
    </w:p>
    <w:bookmarkEnd w:id="26"/>
    <w:bookmarkStart w:id="27" w:name="Xd32098bd4b0dd4aa0bf79753bf8ad478d92b6a8"/>
    <w:p>
      <w:pPr>
        <w:pStyle w:val="Heading2"/>
      </w:pPr>
      <w:r>
        <w:t xml:space="preserve">VI. Conclusion: The Pharmacist as Growth Catalyst in Medellín</w:t>
      </w:r>
    </w:p>
    <w:p>
      <w:pPr>
        <w:pStyle w:val="FirstParagraph"/>
      </w:pPr>
      <w:r>
        <w:t xml:space="preserve">This Sales Report unequivocally demonstrates that the Pharmacist is not merely a transactional role within Colombia Medellín's pharmacy ecosystem—it is the strategic engine driving sustainable revenue growth. In a city where healthcare access disparities persist, our Pharmacists bridge critical gaps through clinical expertise and community trust. The 12.7% revenue growth in Q3 was not accidental; it resulted from Pharmacist-led initiatives tailored to Medellín's unique health landscape—from Comuna 13's hypertension clinics to El Poblado's premium skincare demand.</w:t>
      </w:r>
    </w:p>
    <w:p>
      <w:pPr>
        <w:pStyle w:val="BodyText"/>
      </w:pPr>
      <w:r>
        <w:t xml:space="preserve">As Colombia advances its universal healthcare goals under the National Health System (SNS), pharmacies staffed by licensed Pharmacists will remain pivotal. This report confirms that investing in the Pharmacist's clinical authority directly translates to stronger sales, enhanced patient outcomes, and compliance with Colombia's evolving pharmaceutical regulations. For Medellín specifically, where 73% of residents live within 15 minutes of a pharmacy (DANE 2023), our Pharmacist-driven model offers a replicable blueprint for nationwide impact.</w:t>
      </w:r>
    </w:p>
    <w:p>
      <w:pPr>
        <w:pStyle w:val="BodyText"/>
      </w:pPr>
      <w:r>
        <w:rPr>
          <w:bCs/>
          <w:b/>
        </w:rPr>
        <w:t xml:space="preserve">Prepared by:</w:t>
      </w:r>
      <w:r>
        <w:t xml:space="preserve"> </w:t>
      </w:r>
      <w:r>
        <w:t xml:space="preserve">Maria Fernanda Rojas, Senior Pharmacy Operations Manager |</w:t>
      </w:r>
      <w:r>
        <w:t xml:space="preserve"> </w:t>
      </w:r>
      <w:r>
        <w:rPr>
          <w:bCs/>
          <w:b/>
        </w:rPr>
        <w:t xml:space="preserve">Pharmacist License:</w:t>
      </w:r>
      <w:r>
        <w:t xml:space="preserve"> </w:t>
      </w:r>
      <w:r>
        <w:t xml:space="preserve">No. 158746 (Colombia Ministry of Health) |</w:t>
      </w:r>
      <w:r>
        <w:t xml:space="preserve"> </w:t>
      </w:r>
      <w:r>
        <w:rPr>
          <w:bCs/>
          <w:b/>
        </w:rPr>
        <w:t xml:space="preserve">Contact:</w:t>
      </w:r>
      <w:r>
        <w:t xml:space="preserve"> </w:t>
      </w:r>
      <w:r>
        <w:t xml:space="preserve">m.rojas@medellinpharmacy.com.co</w:t>
      </w:r>
    </w:p>
    <w:p>
      <w:pPr>
        <w:pStyle w:val="BodyText"/>
      </w:pPr>
      <w:r>
        <w:rPr>
          <w:iCs/>
          <w:i/>
        </w:rPr>
        <w:t xml:space="preserve">This Sales Report adheres to Colombia's National Guidelines for Pharmacy Data Transparency (Resolución 0396, 2021) and was reviewed by the Medellín Regional Health Authority (ARL).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Sales Performance Report: Medellín, Colombia</dc:title>
  <dc:creator/>
  <dc:language>en</dc:language>
  <cp:keywords/>
  <dcterms:created xsi:type="dcterms:W3CDTF">2026-07-23T19:24:31Z</dcterms:created>
  <dcterms:modified xsi:type="dcterms:W3CDTF">2026-07-23T19:24:31Z</dcterms:modified>
</cp:coreProperties>
</file>

<file path=docProps/custom.xml><?xml version="1.0" encoding="utf-8"?>
<Properties xmlns="http://schemas.openxmlformats.org/officeDocument/2006/custom-properties" xmlns:vt="http://schemas.openxmlformats.org/officeDocument/2006/docPropsVTypes"/>
</file>