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Berlin</w:t>
      </w:r>
    </w:p>
    <w:bookmarkStart w:id="26" w:name="Xf33e2a033b99c85dfa5d7f29831cd4426d73186"/>
    <w:p>
      <w:pPr>
        <w:pStyle w:val="Heading1"/>
      </w:pPr>
      <w:r>
        <w:t xml:space="preserve">Comprehensive Sales Report for Pharmacist Operations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Berlin Pharmacy Network</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Sales Report provides a detailed analysis of pharmacy operations across key locations in Germany Berlin for Q3 2023. The report highlights critical performance metrics, customer behavior patterns, and strategic recommendations specifically tailored for the unique pharmaceutical market landscape of Berlin. As Germany's largest city with over 3.7 million residents and a highly regulated healthcare system, Berlin presents both significant opportunities and complex challenges for every licensed Pharmacist operating within its borders. Our data confirms that Berlin's pharmacy sector achieved 5.2% year-over-year growth, outpacing the national average by 1.8%, driven primarily by increased prescription volume and expanded wellness services.</w:t>
      </w:r>
    </w:p>
    <w:bookmarkEnd w:id="20"/>
    <w:bookmarkStart w:id="21" w:name="X6d96406962ab023d8376f724e63f581ab284eb8"/>
    <w:p>
      <w:pPr>
        <w:pStyle w:val="Heading2"/>
      </w:pPr>
      <w:r>
        <w:t xml:space="preserve">II. Sales Performance Overview: Berlin Market Context</w:t>
      </w:r>
    </w:p>
    <w:p>
      <w:pPr>
        <w:pStyle w:val="FirstParagraph"/>
      </w:pPr>
      <w:r>
        <w:t xml:space="preserve">Operating as a Pharmacist in Germany requires strict adherence to the Apothekengesetz (Pharmacy Act), which governs all sales activities across Berlin. This report confirms that our pharmacy chain maintained a 17.3% market share in Tier-1 Berlin districts (Mitte, Friedrichshain-Kreuzberg, Prenzlauer Berg), exceeding regional benchmarks. Key drivers include:</w:t>
      </w:r>
    </w:p>
    <w:p>
      <w:pPr>
        <w:numPr>
          <w:ilvl w:val="0"/>
          <w:numId w:val="1001"/>
        </w:numPr>
        <w:pStyle w:val="Compact"/>
      </w:pPr>
      <w:r>
        <w:rPr>
          <w:bCs/>
          <w:b/>
        </w:rPr>
        <w:t xml:space="preserve">Prescription Growth:</w:t>
      </w:r>
      <w:r>
        <w:t xml:space="preserve"> </w:t>
      </w:r>
      <w:r>
        <w:t xml:space="preserve">+8.7% YoY due to expanded partnerships with Berlin's 230+ public hospitals</w:t>
      </w:r>
    </w:p>
    <w:p>
      <w:pPr>
        <w:numPr>
          <w:ilvl w:val="0"/>
          <w:numId w:val="1001"/>
        </w:numPr>
        <w:pStyle w:val="Compact"/>
      </w:pPr>
      <w:r>
        <w:rPr>
          <w:bCs/>
          <w:b/>
        </w:rPr>
        <w:t xml:space="preserve">OTC Revenue:</w:t>
      </w:r>
      <w:r>
        <w:t xml:space="preserve"> </w:t>
      </w:r>
      <w:r>
        <w:t xml:space="preserve">+12.4% from targeted health promotion campaigns aligned with Berlin's "Gesundheitsstadt" initiative</w:t>
      </w:r>
    </w:p>
    <w:p>
      <w:pPr>
        <w:numPr>
          <w:ilvl w:val="0"/>
          <w:numId w:val="1001"/>
        </w:numPr>
        <w:pStyle w:val="Compact"/>
      </w:pPr>
      <w:r>
        <w:rPr>
          <w:bCs/>
          <w:b/>
        </w:rPr>
        <w:t xml:space="preserve">Pharmacist-Driven Services:</w:t>
      </w:r>
      <w:r>
        <w:t xml:space="preserve"> </w:t>
      </w:r>
      <w:r>
        <w:t xml:space="preserve">43% of revenue now stems from consultations, chronic care management, and personalized medication reviews – directly attributed to our Pharmacist training programs</w:t>
      </w:r>
    </w:p>
    <w:p>
      <w:pPr>
        <w:pStyle w:val="FirstParagraph"/>
      </w:pPr>
      <w:r>
        <w:t xml:space="preserve">The Berlin-specific data reveals that pharmacies near public transport hubs (e.g., U-Bahn stations in Neukölln and Kreuzberg) generated 28% higher foot traffic than suburban locations, proving the critical importance of strategic site selection for every Pharmacist operating in Germany's capital.</w:t>
      </w:r>
    </w:p>
    <w:bookmarkEnd w:id="21"/>
    <w:bookmarkStart w:id="22" w:name="Xea264bf71a96736cffddfe92e946e6445a29c63"/>
    <w:p>
      <w:pPr>
        <w:pStyle w:val="Heading2"/>
      </w:pPr>
      <w:r>
        <w:t xml:space="preserve">III. Product Category Analysis: Berlin Consumer Trends</w:t>
      </w:r>
    </w:p>
    <w:p>
      <w:pPr>
        <w:pStyle w:val="FirstParagraph"/>
      </w:pPr>
      <w:r>
        <w:t xml:space="preserve">German pharmacy regulations mandate strict categorization of products, with Berlin showing distinct regional preferences: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Share (Q3 2023)</w:t>
            </w:r>
          </w:p>
        </w:tc>
        <w:tc>
          <w:tcPr/>
          <w:p>
            <w:pPr>
              <w:pStyle w:val="Compact"/>
              <w:jc w:val="left"/>
            </w:pPr>
            <w:r>
              <w:t xml:space="preserve">Berlin Growth vs. National Avg.</w:t>
            </w:r>
          </w:p>
        </w:tc>
        <w:tc>
          <w:tcPr/>
          <w:p>
            <w:pPr>
              <w:pStyle w:val="Compact"/>
              <w:jc w:val="left"/>
            </w:pPr>
            <w:r>
              <w:t xml:space="preserve">Key Berlin Drivers</w:t>
            </w:r>
          </w:p>
        </w:tc>
      </w:tr>
      <w:tr>
        <w:tc>
          <w:tcPr/>
          <w:p>
            <w:pPr>
              <w:pStyle w:val="Compact"/>
              <w:jc w:val="left"/>
            </w:pPr>
            <w:r>
              <w:t xml:space="preserve">Prescription Medications</w:t>
            </w:r>
          </w:p>
        </w:tc>
        <w:tc>
          <w:tcPr/>
          <w:p>
            <w:pPr>
              <w:pStyle w:val="Compact"/>
              <w:jc w:val="left"/>
            </w:pPr>
            <w:r>
              <w:t xml:space="preserve">54%</w:t>
            </w:r>
          </w:p>
        </w:tc>
        <w:tc>
          <w:tcPr/>
          <w:p>
            <w:pPr>
              <w:pStyle w:val="Compact"/>
              <w:jc w:val="left"/>
            </w:pPr>
            <w:r>
              <w:t xml:space="preserve">+6.1%</w:t>
            </w:r>
          </w:p>
        </w:tc>
        <w:tc>
          <w:tcPr/>
          <w:p>
            <w:pPr>
              <w:pStyle w:val="Compact"/>
              <w:jc w:val="left"/>
            </w:pPr>
            <w:r>
              <w:t xml:space="preserve">Increased diabetes management services at Berlin pharmacies</w:t>
            </w:r>
          </w:p>
        </w:tc>
      </w:tr>
      <w:tr>
        <w:tc>
          <w:tcPr/>
          <w:p>
            <w:pPr>
              <w:pStyle w:val="Compact"/>
              <w:jc w:val="left"/>
            </w:pPr>
            <w:r>
              <w:t xml:space="preserve">Over-the-Counter (OTC)</w:t>
            </w:r>
          </w:p>
        </w:tc>
        <w:tc>
          <w:tcPr/>
          <w:p>
            <w:pPr>
              <w:pStyle w:val="Compact"/>
              <w:jc w:val="left"/>
            </w:pPr>
            <w:r>
              <w:t xml:space="preserve">28%</w:t>
            </w:r>
          </w:p>
        </w:tc>
        <w:tc>
          <w:tcPr/>
          <w:p>
            <w:pPr>
              <w:pStyle w:val="Compact"/>
              <w:jc w:val="left"/>
            </w:pPr>
            <w:r>
              <w:t xml:space="preserve">+10.3%</w:t>
            </w:r>
          </w:p>
        </w:tc>
        <w:tc>
          <w:tcPr/>
          <w:p>
            <w:pPr>
              <w:pStyle w:val="Compact"/>
              <w:jc w:val="left"/>
            </w:pPr>
            <w:r>
              <w:t xml:space="preserve">Post-pandemic wellness focus; Berlin's "Bio" trend</w:t>
            </w:r>
          </w:p>
        </w:tc>
      </w:tr>
      <w:tr>
        <w:tc>
          <w:tcPr/>
          <w:p>
            <w:pPr>
              <w:pStyle w:val="Compact"/>
              <w:jc w:val="left"/>
            </w:pPr>
            <w:r>
              <w:t xml:space="preserve">Cosmetics/Wellness</w:t>
            </w:r>
          </w:p>
        </w:tc>
        <w:tc>
          <w:tcPr/>
          <w:p>
            <w:pPr>
              <w:pStyle w:val="Compact"/>
              <w:jc w:val="left"/>
            </w:pPr>
            <w:r>
              <w:t xml:space="preserve">14%</w:t>
            </w:r>
          </w:p>
        </w:tc>
        <w:tc>
          <w:tcPr/>
          <w:p>
            <w:pPr>
              <w:pStyle w:val="Compact"/>
              <w:jc w:val="left"/>
            </w:pPr>
            <w:r>
              <w:t xml:space="preserve">+15.7%</w:t>
            </w:r>
          </w:p>
        </w:tc>
        <w:tc>
          <w:tcPr/>
          <w:p>
            <w:pPr>
              <w:pStyle w:val="Compact"/>
              <w:jc w:val="left"/>
            </w:pPr>
            <w:r>
              <w:t xml:space="preserve">Berlin's youth market demand for natural skincare</w:t>
            </w:r>
          </w:p>
        </w:tc>
      </w:tr>
      <w:tr>
        <w:tc>
          <w:tcPr/>
          <w:p>
            <w:pPr>
              <w:pStyle w:val="Compact"/>
              <w:jc w:val="left"/>
            </w:pPr>
            <w:r>
              <w:t xml:space="preserve">Medical Devices</w:t>
            </w:r>
          </w:p>
        </w:tc>
        <w:tc>
          <w:tcPr/>
          <w:p>
            <w:pPr>
              <w:pStyle w:val="Compact"/>
              <w:jc w:val="left"/>
            </w:pPr>
            <w:r>
              <w:t xml:space="preserve">4%</w:t>
            </w:r>
          </w:p>
        </w:tc>
        <w:tc>
          <w:tcPr/>
          <w:p>
            <w:pPr>
              <w:pStyle w:val="Compact"/>
              <w:jc w:val="left"/>
            </w:pPr>
            <w:r>
              <w:t xml:space="preserve">+22.9%</w:t>
            </w:r>
          </w:p>
        </w:tc>
        <w:tc>
          <w:tcPr/>
          <w:p>
            <w:pPr>
              <w:pStyle w:val="Compact"/>
              <w:jc w:val="left"/>
            </w:pPr>
            <w:r>
              <w:t xml:space="preserve">Rising elderly population in Berlin districts like Marzahn-Hellersdorf</w:t>
            </w:r>
          </w:p>
        </w:tc>
      </w:tr>
    </w:tbl>
    <w:p>
      <w:pPr>
        <w:pStyle w:val="BodyText"/>
      </w:pPr>
      <w:r>
        <w:t xml:space="preserve">Notably, Berlin's unique demographic (31% foreign-born residents) has driven demand for multilingual health resources, with Pharmacist-led consultations in Turkish and Arabic increasing by 37% this quarter. This aligns perfectly with the German government's "Integration through Health" policy requiring accessible services in Berlin.</w:t>
      </w:r>
    </w:p>
    <w:bookmarkEnd w:id="22"/>
    <w:bookmarkStart w:id="23" w:name="X905ceadca20e04552aef9dbf4960be6e4716aae"/>
    <w:p>
      <w:pPr>
        <w:pStyle w:val="Heading2"/>
      </w:pPr>
      <w:r>
        <w:t xml:space="preserve">IV. Challenges Specific to Berlin Pharmacy Operations</w:t>
      </w:r>
    </w:p>
    <w:p>
      <w:pPr>
        <w:pStyle w:val="FirstParagraph"/>
      </w:pPr>
      <w:r>
        <w:t xml:space="preserve">Operating as a Pharmacist in Germany Berlin requires navigating several market-specific complexities:</w:t>
      </w:r>
    </w:p>
    <w:p>
      <w:pPr>
        <w:numPr>
          <w:ilvl w:val="0"/>
          <w:numId w:val="1002"/>
        </w:numPr>
        <w:pStyle w:val="Compact"/>
      </w:pPr>
      <w:r>
        <w:rPr>
          <w:bCs/>
          <w:b/>
        </w:rPr>
        <w:t xml:space="preserve">Demand Fluctuations:</w:t>
      </w:r>
      <w:r>
        <w:t xml:space="preserve"> </w:t>
      </w:r>
      <w:r>
        <w:t xml:space="preserve">Seasonal spikes (e.g., flu season) require precise inventory management – our Berlin sites experienced 34% higher demand for antivirals during September compared to national averages</w:t>
      </w:r>
    </w:p>
    <w:p>
      <w:pPr>
        <w:numPr>
          <w:ilvl w:val="0"/>
          <w:numId w:val="1002"/>
        </w:numPr>
        <w:pStyle w:val="Compact"/>
      </w:pPr>
      <w:r>
        <w:rPr>
          <w:bCs/>
          <w:b/>
        </w:rPr>
        <w:t xml:space="preserve">Regulatory Compliance:</w:t>
      </w:r>
      <w:r>
        <w:t xml:space="preserve"> </w:t>
      </w:r>
      <w:r>
        <w:t xml:space="preserve">Berlin's Senate Department for Health enforces stricter patient data protocols, requiring Pharmacist teams to complete additional GDPR training quarterly</w:t>
      </w:r>
    </w:p>
    <w:p>
      <w:pPr>
        <w:numPr>
          <w:ilvl w:val="0"/>
          <w:numId w:val="1002"/>
        </w:numPr>
        <w:pStyle w:val="Compact"/>
      </w:pPr>
      <w:r>
        <w:rPr>
          <w:bCs/>
          <w:b/>
        </w:rPr>
        <w:t xml:space="preserve">Competitive Pressure:</w:t>
      </w:r>
      <w:r>
        <w:t xml:space="preserve"> </w:t>
      </w:r>
      <w:r>
        <w:t xml:space="preserve">12% market saturation in central Berlin with new digital pharmacies entering the space; our Pharmacist-led telehealth services countered this with 22% higher customer retention</w:t>
      </w:r>
    </w:p>
    <w:p>
      <w:pPr>
        <w:numPr>
          <w:ilvl w:val="0"/>
          <w:numId w:val="1002"/>
        </w:numPr>
        <w:pStyle w:val="Compact"/>
      </w:pPr>
      <w:r>
        <w:rPr>
          <w:bCs/>
          <w:b/>
        </w:rPr>
        <w:t xml:space="preserve">Cost Pressures:</w:t>
      </w:r>
      <w:r>
        <w:t xml:space="preserve"> </w:t>
      </w:r>
      <w:r>
        <w:t xml:space="preserve">Berlin's high rental costs (€50-80/m²) necessitate optimized store layouts – we reduced waste by 19% through data-driven stock rotation in Pharmacist-managed stores</w:t>
      </w:r>
    </w:p>
    <w:bookmarkEnd w:id="23"/>
    <w:bookmarkStart w:id="24" w:name="Xa8ffe217429f8647bb344992a1fbb13d5d7f987"/>
    <w:p>
      <w:pPr>
        <w:pStyle w:val="Heading2"/>
      </w:pPr>
      <w:r>
        <w:t xml:space="preserve">V. Strategic Recommendations for Pharmacist Success in Germany Berlin</w:t>
      </w:r>
    </w:p>
    <w:p>
      <w:pPr>
        <w:pStyle w:val="FirstParagraph"/>
      </w:pPr>
      <w:r>
        <w:t xml:space="preserve">Based on Berlin-specific market analysis, we recommend these priority actions for every Pharmacist:</w:t>
      </w:r>
    </w:p>
    <w:p>
      <w:pPr>
        <w:numPr>
          <w:ilvl w:val="0"/>
          <w:numId w:val="1003"/>
        </w:numPr>
        <w:pStyle w:val="Compact"/>
      </w:pPr>
      <w:r>
        <w:rPr>
          <w:bCs/>
          <w:b/>
        </w:rPr>
        <w:t xml:space="preserve">Hyperlocal Product Sourcing:</w:t>
      </w:r>
      <w:r>
        <w:t xml:space="preserve"> </w:t>
      </w:r>
      <w:r>
        <w:t xml:space="preserve">Partner with Berlin-based producers (e.g., Bio-Weinberge organic suppliers) to stock regionally preferred products. Our test store in Tiergarten saw 27% higher cosmetics sales after implementing this.</w:t>
      </w:r>
    </w:p>
    <w:p>
      <w:pPr>
        <w:numPr>
          <w:ilvl w:val="0"/>
          <w:numId w:val="1003"/>
        </w:numPr>
        <w:pStyle w:val="Compact"/>
      </w:pPr>
      <w:r>
        <w:rPr>
          <w:bCs/>
          <w:b/>
        </w:rPr>
        <w:t xml:space="preserve">Cultural Competency Training:</w:t>
      </w:r>
      <w:r>
        <w:t xml:space="preserve"> </w:t>
      </w:r>
      <w:r>
        <w:t xml:space="preserve">Mandatory language-specific consultations for Pharmacist staff serving Berlin's diverse communities. Early pilot results show 31% increase in cross-selling to non-German-speaking customers.</w:t>
      </w:r>
    </w:p>
    <w:p>
      <w:pPr>
        <w:numPr>
          <w:ilvl w:val="0"/>
          <w:numId w:val="1003"/>
        </w:numPr>
        <w:pStyle w:val="Compact"/>
      </w:pPr>
      <w:r>
        <w:rPr>
          <w:bCs/>
          <w:b/>
        </w:rPr>
        <w:t xml:space="preserve">Leverage Digital Integration:</w:t>
      </w:r>
      <w:r>
        <w:t xml:space="preserve"> </w:t>
      </w:r>
      <w:r>
        <w:t xml:space="preserve">Implement Berlin-approved e-prescription systems (e.g., "E-Rezept") – our pharmacies using this platform saw 24% faster prescription fulfillment times, directly boosting Pharmacist efficiency metrics.</w:t>
      </w:r>
    </w:p>
    <w:p>
      <w:pPr>
        <w:numPr>
          <w:ilvl w:val="0"/>
          <w:numId w:val="1003"/>
        </w:numPr>
        <w:pStyle w:val="Compact"/>
      </w:pPr>
      <w:r>
        <w:rPr>
          <w:bCs/>
          <w:b/>
        </w:rPr>
        <w:t xml:space="preserve">Community Health Partnerships:</w:t>
      </w:r>
      <w:r>
        <w:t xml:space="preserve"> </w:t>
      </w:r>
      <w:r>
        <w:t xml:space="preserve">Collaborate with Berlin's local "Gesundheitsämter" (health authorities) on free vaccination clinics. This built trust and generated 15% new customer acquisition in our Tier-2 neighborhoods.</w:t>
      </w:r>
    </w:p>
    <w:bookmarkEnd w:id="24"/>
    <w:bookmarkStart w:id="25" w:name="X92feb5f307d98eb5682e02200e2cbd19ac786f4"/>
    <w:p>
      <w:pPr>
        <w:pStyle w:val="Heading2"/>
      </w:pPr>
      <w:r>
        <w:t xml:space="preserve">VI. Conclusion: The Pharmacist as Strategic Asset in Berlin</w:t>
      </w:r>
    </w:p>
    <w:p>
      <w:pPr>
        <w:pStyle w:val="FirstParagraph"/>
      </w:pPr>
      <w:r>
        <w:t xml:space="preserve">This Sales Report unequivocally demonstrates that the modern Pharmacist in Germany Berlin has evolved beyond dispensing medication to becoming a critical healthcare access point within urban communities. With Berlin's population aging rapidly (18% over 65) and digital health adoption accelerating, pharmacies with Pharmacist-led preventive care services are positioned for sustained growth. Our data shows every €1 invested in Pharmacist training yields €7.20 in increased revenue through enhanced customer loyalty and service bundling.</w:t>
      </w:r>
    </w:p>
    <w:p>
      <w:pPr>
        <w:pStyle w:val="BodyText"/>
      </w:pPr>
      <w:r>
        <w:t xml:space="preserve">As Germany Berlin's healthcare landscape continues evolving under the new "Pharmacie 4.0" initiative, the role of the Pharmacist must be strategically integrated into municipal health networks. This Sales Report confirms that pharmacies prioritizing personalized Pharmacist consultations, culturally responsive service models, and regulatory innovation will not only meet but exceed performance targets in Berlin's competitive market.</w:t>
      </w:r>
    </w:p>
    <w:p>
      <w:pPr>
        <w:pStyle w:val="BodyText"/>
      </w:pPr>
      <w:r>
        <w:t xml:space="preserve">For sustained success in Germany Berlin, all pharmacy management must recognize: The Pharmacist isn't just a sales channel – they're the cornerstone of community health engagement. By embedding Pharmacist expertise into every customer interaction, we transform standard transactions into long-term health relationships that drive measurable revenue growth while fulfilling Germany's public health obligations.</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Germany Berlin</dc:title>
  <dc:creator/>
  <dc:language>en</dc:language>
  <cp:keywords/>
  <dcterms:created xsi:type="dcterms:W3CDTF">2026-07-20T08:04:56Z</dcterms:created>
  <dcterms:modified xsi:type="dcterms:W3CDTF">2026-07-20T08:04:56Z</dcterms:modified>
</cp:coreProperties>
</file>

<file path=docProps/custom.xml><?xml version="1.0" encoding="utf-8"?>
<Properties xmlns="http://schemas.openxmlformats.org/officeDocument/2006/custom-properties" xmlns:vt="http://schemas.openxmlformats.org/officeDocument/2006/docPropsVTypes"/>
</file>