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r>
        <w:t xml:space="preserve"> </w:t>
      </w:r>
      <w:r>
        <w:t xml:space="preserve">Analysis</w:t>
      </w:r>
    </w:p>
    <w:bookmarkStart w:id="27" w:name="X1b563544a078fe79fe0c7e14461877a003dda59"/>
    <w:p>
      <w:pPr>
        <w:pStyle w:val="Heading1"/>
      </w:pPr>
      <w:r>
        <w:t xml:space="preserve">Pharmacist Sales Performance &amp; Strategic Outlook: Germany Frankfurt Market - Q3 2023 Annual Report</w:t>
      </w:r>
    </w:p>
    <w:p>
      <w:pPr>
        <w:pStyle w:val="FirstParagraph"/>
      </w:pPr>
      <w:r>
        <w:rPr>
          <w:bCs/>
          <w:b/>
        </w:rPr>
        <w:t xml:space="preserve">Prepared For:</w:t>
      </w:r>
      <w:r>
        <w:t xml:space="preserve"> </w:t>
      </w:r>
      <w:r>
        <w:t xml:space="preserve">Management Board, Deutsche Apotheke Holding GmbH</w:t>
      </w:r>
      <w:r>
        <w:br/>
      </w:r>
      <w:r>
        <w:rPr>
          <w:bCs/>
          <w:b/>
        </w:rPr>
        <w:t xml:space="preserve">Date:</w:t>
      </w:r>
      <w:r>
        <w:t xml:space="preserve"> </w:t>
      </w:r>
      <w:r>
        <w:t xml:space="preserve">October 26, 2023</w:t>
      </w:r>
      <w:r>
        <w:br/>
      </w:r>
      <w:r>
        <w:rPr>
          <w:bCs/>
          <w:b/>
        </w:rPr>
        <w:t xml:space="preserve">Report Type:</w:t>
      </w:r>
      <w:r>
        <w:t xml:space="preserve"> </w:t>
      </w:r>
      <w:r>
        <w:t xml:space="preserve">Comprehensive Sales Performance Analysis</w:t>
      </w:r>
    </w:p>
    <w:bookmarkStart w:id="20" w:name="executive-summary"/>
    <w:p>
      <w:pPr>
        <w:pStyle w:val="Heading2"/>
      </w:pPr>
      <w:r>
        <w:t xml:space="preserve">Executive Summary</w:t>
      </w:r>
    </w:p>
    <w:p>
      <w:pPr>
        <w:pStyle w:val="FirstParagraph"/>
      </w:pPr>
      <w:r>
        <w:t xml:space="preserve">This Sales Report presents a detailed analysis of pharmacist-led sales performance across the Germany Frankfurt market for Q3 2023. The data underscores Frankfurt's position as Germany's fourth-largest pharmacy hub, driven by its unique demographic profile and strict regulatory environment. Key findings reveal a 14.7% year-over-year growth in total sales volume, with pharmacists demonstrating exceptional expertise in both prescription fulfillment and over-the-counter (OTC) solutions. This Sales Report confirms that pharmacist-led customer engagement remains the cornerstone of success in Germany's highly regulated pharmaceutical retail sector.</w:t>
      </w:r>
    </w:p>
    <w:bookmarkEnd w:id="20"/>
    <w:bookmarkStart w:id="21" w:name="X4bb6ab0f442d4ce97e495e96aa2f3e588677d7a"/>
    <w:p>
      <w:pPr>
        <w:pStyle w:val="Heading2"/>
      </w:pPr>
      <w:r>
        <w:t xml:space="preserve">Market Context: Why Frankfurt Matters for Pharmacist Operations</w:t>
      </w:r>
    </w:p>
    <w:p>
      <w:pPr>
        <w:pStyle w:val="FirstParagraph"/>
      </w:pPr>
      <w:r>
        <w:t xml:space="preserve">Germany Frankfurt represents a critical commercial ecosystem for pharmacists, serving over 750,000 residents within a 15-kilometer radius of the city center. As Germany's financial and transportation nerve center, Frankfurt attracts a high concentration of international professionals (32% expatriates) and aging populations requiring chronic medication management. This dynamic directly shapes pharmacist sales strategies. Under German pharmacy law (Apothekenbetriebsordnung), every pharmacist must maintain a minimum 30-kilometer service radius for independent operations, making Frankfurt's dense urban pharmacy network particularly strategic. The city hosts over 217 pharmacies, with the most successful outlets achieving average daily footfall of 420+ customers – significantly above the national average of 350.</w:t>
      </w:r>
    </w:p>
    <w:bookmarkEnd w:id="21"/>
    <w:bookmarkStart w:id="22" w:name="X8166fecfc4773170e636f9262753e1220feb95d"/>
    <w:p>
      <w:pPr>
        <w:pStyle w:val="Heading2"/>
      </w:pPr>
      <w:r>
        <w:t xml:space="preserve">Key Sales Performance Metrics: Pharmacist-Driven Results</w:t>
      </w:r>
    </w:p>
    <w:p>
      <w:pPr>
        <w:pStyle w:val="FirstParagraph"/>
      </w:pPr>
      <w:r>
        <w:t xml:space="preserve">Analysis of our Frankfurt pharmacy network reveals how pharmacist expertise directly correlates with sales growth. In Q3 2023:</w:t>
      </w:r>
    </w:p>
    <w:p>
      <w:pPr>
        <w:numPr>
          <w:ilvl w:val="0"/>
          <w:numId w:val="1001"/>
        </w:numPr>
        <w:pStyle w:val="Compact"/>
      </w:pPr>
      <w:r>
        <w:rPr>
          <w:bCs/>
          <w:b/>
        </w:rPr>
        <w:t xml:space="preserve">Perscription Revenue:</w:t>
      </w:r>
      <w:r>
        <w:t xml:space="preserve"> </w:t>
      </w:r>
      <w:r>
        <w:t xml:space="preserve">Increased by 9.8% YoY, driven by pharmacist-led chronic disease management programs (e.g., diabetes and hypertension). Pharmacist consultations contributed to a 27% reduction in patient medication non-adherence.</w:t>
      </w:r>
    </w:p>
    <w:p>
      <w:pPr>
        <w:numPr>
          <w:ilvl w:val="0"/>
          <w:numId w:val="1001"/>
        </w:numPr>
        <w:pStyle w:val="Compact"/>
      </w:pPr>
      <w:r>
        <w:rPr>
          <w:bCs/>
          <w:b/>
        </w:rPr>
        <w:t xml:space="preserve">OTC &amp; Wellness Sales:</w:t>
      </w:r>
      <w:r>
        <w:t xml:space="preserve"> </w:t>
      </w:r>
      <w:r>
        <w:t xml:space="preserve">Surged by 19.4%, particularly in personalized vitamin complexes, sleep aids, and skincare regimens. Pharmacists achieved an average conversion rate of 68% for wellness recommendations versus the industry benchmark of 52%.</w:t>
      </w:r>
    </w:p>
    <w:p>
      <w:pPr>
        <w:numPr>
          <w:ilvl w:val="0"/>
          <w:numId w:val="1001"/>
        </w:numPr>
        <w:pStyle w:val="Compact"/>
      </w:pPr>
      <w:r>
        <w:rPr>
          <w:bCs/>
          <w:b/>
        </w:rPr>
        <w:t xml:space="preserve">Pharmacist Customer Retention:</w:t>
      </w:r>
      <w:r>
        <w:t xml:space="preserve"> </w:t>
      </w:r>
      <w:r>
        <w:t xml:space="preserve">Pharmacies with dedicated clinical pharmacist roles saw a 34% higher patient retention rate, directly impacting subscription-based medication sales (e.g., weekly insulin or blood pressure packs).</w:t>
      </w:r>
    </w:p>
    <w:p>
      <w:pPr>
        <w:numPr>
          <w:ilvl w:val="0"/>
          <w:numId w:val="1001"/>
        </w:numPr>
        <w:pStyle w:val="Compact"/>
      </w:pPr>
      <w:r>
        <w:rPr>
          <w:bCs/>
          <w:b/>
        </w:rPr>
        <w:t xml:space="preserve">Specialty Product Uptake:</w:t>
      </w:r>
      <w:r>
        <w:t xml:space="preserve"> </w:t>
      </w:r>
      <w:r>
        <w:t xml:space="preserve">Sales of gender-specific health products rose 22.1% as pharmacists implemented targeted counseling for women's and men's health – a segment growing 5.3x faster than general OTC in Germany Frankfurt.</w:t>
      </w:r>
    </w:p>
    <w:bookmarkEnd w:id="22"/>
    <w:bookmarkStart w:id="23" w:name="competitive-landscape-regulatory-nuances"/>
    <w:p>
      <w:pPr>
        <w:pStyle w:val="Heading2"/>
      </w:pPr>
      <w:r>
        <w:t xml:space="preserve">Competitive Landscape &amp; Regulatory Nuances</w:t>
      </w:r>
    </w:p>
    <w:p>
      <w:pPr>
        <w:pStyle w:val="FirstParagraph"/>
      </w:pPr>
      <w:r>
        <w:t xml:space="preserve">Germany Frankfurt’s pharmacist market operates under unique constraints. Unlike other German cities, Frankfurt enforces strict zoning laws requiring new pharmacy licenses to be approved by the local Apothekerkammer (Pharmacy Chamber) within 18 months – creating a barrier for competitors. This regulatory environment has cemented pharmacists' positions as trusted healthcare navigators. Our analysis shows that pharmacies without dedicated clinical pharmacists lost market share to competitors who invested in pharmacist training, with a 41% decline in patient referrals from physicians for those lacking specialist staff.</w:t>
      </w:r>
    </w:p>
    <w:p>
      <w:pPr>
        <w:pStyle w:val="BodyText"/>
      </w:pPr>
      <w:r>
        <w:t xml:space="preserve">Key challenges include rising costs of pharmaceutical inventory (up 7.2% YoY) and competition from online platforms like Pharmatek. However, Frankfurt-based pharmacists counter this through hyper-localized services: 89% of our network offers same-day delivery for prescriptions within the city center, a service unavailable to nationwide e-pharmacies due to German pharmacy regulations.</w:t>
      </w:r>
    </w:p>
    <w:bookmarkEnd w:id="23"/>
    <w:bookmarkStart w:id="24" w:name="Xbb936c137056e83e99f81e18b27c2bf8cb04398"/>
    <w:p>
      <w:pPr>
        <w:pStyle w:val="Heading2"/>
      </w:pPr>
      <w:r>
        <w:t xml:space="preserve">Strategic Recommendations for Frankfurt Pharmacist Success</w:t>
      </w:r>
    </w:p>
    <w:p>
      <w:pPr>
        <w:pStyle w:val="FirstParagraph"/>
      </w:pPr>
      <w:r>
        <w:t xml:space="preserve">This Sales Report identifies three immediate priorities to sustain growth:</w:t>
      </w:r>
    </w:p>
    <w:p>
      <w:pPr>
        <w:numPr>
          <w:ilvl w:val="0"/>
          <w:numId w:val="1002"/>
        </w:numPr>
        <w:pStyle w:val="Compact"/>
      </w:pPr>
      <w:r>
        <w:rPr>
          <w:bCs/>
          <w:b/>
        </w:rPr>
        <w:t xml:space="preserve">Expand Pharmacist-Led Health Assessments:</w:t>
      </w:r>
      <w:r>
        <w:t xml:space="preserve"> </w:t>
      </w:r>
      <w:r>
        <w:t xml:space="preserve">Launch subsidized blood pressure, glucose, and cholesterol screenings at all Frankfurt locations. Data shows these services increase average basket size by 28% and drive OTC cross-sells.</w:t>
      </w:r>
    </w:p>
    <w:p>
      <w:pPr>
        <w:numPr>
          <w:ilvl w:val="0"/>
          <w:numId w:val="1002"/>
        </w:numPr>
        <w:pStyle w:val="Compact"/>
      </w:pPr>
      <w:r>
        <w:rPr>
          <w:bCs/>
          <w:b/>
        </w:rPr>
        <w:t xml:space="preserve">Leverage Frankfurt’s Demographics:</w:t>
      </w:r>
      <w:r>
        <w:t xml:space="preserve"> </w:t>
      </w:r>
      <w:r>
        <w:t xml:space="preserve">Develop tailored wellness bundles for expats (e.g., jet-lag recovery kits, multilingual health guides) and elderly residents (medication synchronization programs). This addresses unmet needs in Germany Frankfurt's dual demographic market.</w:t>
      </w:r>
    </w:p>
    <w:p>
      <w:pPr>
        <w:numPr>
          <w:ilvl w:val="0"/>
          <w:numId w:val="1002"/>
        </w:numPr>
        <w:pStyle w:val="Compact"/>
      </w:pPr>
      <w:r>
        <w:rPr>
          <w:bCs/>
          <w:b/>
        </w:rPr>
        <w:t xml:space="preserve">Invest in Digital Pharmacist Tools:</w:t>
      </w:r>
      <w:r>
        <w:t xml:space="preserve"> </w:t>
      </w:r>
      <w:r>
        <w:t xml:space="preserve">Implement AI-powered prescription management systems that integrate with German electronic health records (eGK). Pharmacists using these tools reported a 30% faster service time during peak hours, directly boosting customer satisfaction scores by 22%.</w:t>
      </w:r>
    </w:p>
    <w:bookmarkEnd w:id="24"/>
    <w:bookmarkStart w:id="25" w:name="X712b74b798412414b854b2f34df3767aee9d334"/>
    <w:p>
      <w:pPr>
        <w:pStyle w:val="Heading2"/>
      </w:pPr>
      <w:r>
        <w:t xml:space="preserve">Conclusion: The Pharmacist as Growth Catalyst in Germany Frankfurt</w:t>
      </w:r>
    </w:p>
    <w:p>
      <w:pPr>
        <w:pStyle w:val="FirstParagraph"/>
      </w:pPr>
      <w:r>
        <w:t xml:space="preserve">The evidence is unequivocal: pharmacist expertise is the primary differentiator in Germany Frankfurt's competitive pharmaceutical market. This Sales Report confirms that pharmacies prioritizing clinical pharmacist roles achieve sustainable growth beyond mere transactional sales. As regulations evolve and patient expectations rise, the role of the pharmacist transitions from medication dispenser to proactive health partner – a transformation already yielding significant returns in Frankfurt.</w:t>
      </w:r>
    </w:p>
    <w:p>
      <w:pPr>
        <w:pStyle w:val="BodyText"/>
      </w:pPr>
      <w:r>
        <w:t xml:space="preserve">Frankfurt’s unique position as Germany's premier financial center makes it an ideal laboratory for pharmacist-led commercial innovation. By embedding clinical excellence into every customer interaction, our Frankfurt network has not only met but exceeded market growth targets. The path forward requires doubling down on the pharmacist – not just as a sales channel, but as the strategic heart of our Germany Frankfurt operations. This Sales Report serves as both a performance snapshot and a roadmap for cementing pharmacist-driven leadership across all German pharmacy markets.</w:t>
      </w:r>
    </w:p>
    <w:bookmarkEnd w:id="25"/>
    <w:bookmarkStart w:id="26" w:name="X11fafd77dea9e4ca74f9b9dfe99c77eab96d333"/>
    <w:p>
      <w:pPr>
        <w:pStyle w:val="Heading2"/>
      </w:pPr>
      <w:r>
        <w:t xml:space="preserve">Appendix: Frankfurt Pharmacy Market Benchmarks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Frankfurt Avg.</w:t>
            </w:r>
          </w:p>
        </w:tc>
        <w:tc>
          <w:tcPr/>
          <w:p>
            <w:pPr>
              <w:pStyle w:val="Compact"/>
              <w:jc w:val="left"/>
            </w:pPr>
            <w:r>
              <w:t xml:space="preserve">National Avg.</w:t>
            </w:r>
          </w:p>
        </w:tc>
        <w:tc>
          <w:tcPr/>
          <w:p>
            <w:pPr>
              <w:pStyle w:val="Compact"/>
              <w:jc w:val="left"/>
            </w:pPr>
            <w:r>
              <w:t xml:space="preserve">Difference</w:t>
            </w:r>
          </w:p>
        </w:tc>
      </w:tr>
      <w:tr>
        <w:tc>
          <w:tcPr/>
          <w:p>
            <w:pPr>
              <w:pStyle w:val="Compact"/>
              <w:jc w:val="left"/>
            </w:pPr>
            <w:r>
              <w:t xml:space="preserve">Avg. Daily Patient Visits (Pharmacy)</w:t>
            </w:r>
          </w:p>
        </w:tc>
        <w:tc>
          <w:tcPr/>
          <w:p>
            <w:pPr>
              <w:pStyle w:val="Compact"/>
              <w:jc w:val="left"/>
            </w:pPr>
            <w:r>
              <w:t xml:space="preserve">423</w:t>
            </w:r>
          </w:p>
        </w:tc>
        <w:tc>
          <w:tcPr/>
          <w:p>
            <w:pPr>
              <w:pStyle w:val="Compact"/>
              <w:jc w:val="left"/>
            </w:pPr>
            <w:r>
              <w:t xml:space="preserve">350</w:t>
            </w:r>
          </w:p>
        </w:tc>
        <w:tc>
          <w:tcPr/>
          <w:p>
            <w:pPr>
              <w:pStyle w:val="Compact"/>
              <w:jc w:val="left"/>
            </w:pPr>
            <w:r>
              <w:t xml:space="preserve">+21%</w:t>
            </w:r>
          </w:p>
        </w:tc>
      </w:tr>
      <w:tr>
        <w:tc>
          <w:tcPr/>
          <w:p>
            <w:pPr>
              <w:pStyle w:val="Compact"/>
              <w:jc w:val="left"/>
            </w:pPr>
            <w:r>
              <w:t xml:space="preserve">OTC Conversion Rate (Pharmacist Advice)</w:t>
            </w:r>
          </w:p>
        </w:tc>
        <w:tc>
          <w:tcPr/>
          <w:p>
            <w:pPr>
              <w:pStyle w:val="Compact"/>
              <w:jc w:val="left"/>
            </w:pPr>
            <w:r>
              <w:t xml:space="preserve">68%</w:t>
            </w:r>
          </w:p>
        </w:tc>
        <w:tc>
          <w:tcPr/>
          <w:p>
            <w:pPr>
              <w:pStyle w:val="Compact"/>
              <w:jc w:val="left"/>
            </w:pPr>
            <w:r>
              <w:t xml:space="preserve">52%</w:t>
            </w:r>
          </w:p>
        </w:tc>
        <w:tc>
          <w:tcPr/>
          <w:p>
            <w:pPr>
              <w:pStyle w:val="Compact"/>
              <w:jc w:val="left"/>
            </w:pPr>
            <w:r>
              <w:t xml:space="preserve">+31%</w:t>
            </w:r>
          </w:p>
        </w:tc>
      </w:tr>
      <w:tr>
        <w:tc>
          <w:tcPr/>
          <w:p>
            <w:pPr>
              <w:pStyle w:val="Compact"/>
              <w:jc w:val="left"/>
            </w:pPr>
            <w:r>
              <w:t xml:space="preserve">Patient Retention (with Clinical Pharmacist)</w:t>
            </w:r>
          </w:p>
        </w:tc>
        <w:tc>
          <w:tcPr/>
          <w:p>
            <w:pPr>
              <w:pStyle w:val="Compact"/>
              <w:jc w:val="left"/>
            </w:pPr>
            <w:r>
              <w:t xml:space="preserve">76.4%</w:t>
            </w:r>
          </w:p>
        </w:tc>
        <w:tc>
          <w:tcPr/>
          <w:p>
            <w:pPr>
              <w:pStyle w:val="Compact"/>
              <w:jc w:val="left"/>
            </w:pPr>
            <w:r>
              <w:t xml:space="preserve">59.1%</w:t>
            </w:r>
          </w:p>
        </w:tc>
        <w:tc>
          <w:tcPr/>
          <w:p>
            <w:pPr>
              <w:pStyle w:val="Compact"/>
              <w:jc w:val="left"/>
            </w:pPr>
            <w:r>
              <w:t xml:space="preserve">+29.3%</w:t>
            </w:r>
          </w:p>
        </w:tc>
      </w:tr>
    </w:tbl>
    <w:p>
      <w:pPr>
        <w:pStyle w:val="BodyText"/>
      </w:pPr>
      <w:r>
        <w:rPr>
          <w:iCs/>
          <w:i/>
        </w:rPr>
        <w:t xml:space="preserve">Source: German Pharmacy Association (DBA), Frankfurt Apothekerkammer Q3 2023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Germany Frankfurt Market Analysis</dc:title>
  <dc:creator/>
  <dc:language>en</dc:language>
  <cp:keywords/>
  <dcterms:created xsi:type="dcterms:W3CDTF">2026-07-21T15:23:13Z</dcterms:created>
  <dcterms:modified xsi:type="dcterms:W3CDTF">2026-07-21T15:23:13Z</dcterms:modified>
</cp:coreProperties>
</file>

<file path=docProps/custom.xml><?xml version="1.0" encoding="utf-8"?>
<Properties xmlns="http://schemas.openxmlformats.org/officeDocument/2006/custom-properties" xmlns:vt="http://schemas.openxmlformats.org/officeDocument/2006/docPropsVTypes"/>
</file>