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8" w:name="Xd32386b017b7c99130ddf5787511a09bcc46758"/>
    <w:p>
      <w:pPr>
        <w:pStyle w:val="Heading1"/>
      </w:pPr>
      <w:r>
        <w:t xml:space="preserve">Quarterly Sales Report: Pharmacist-Driven Success in Germany Munich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Germany Munich Pharmacy Network</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pharmacy network across Germany Munich during Q3. The data confirms that pharmacists remain the central catalyst for revenue growth, customer retention, and service excellence in this highly regulated market. With Munich’s population density driving complex healthcare demands, pharmacist expertise directly correlates with a 12.7% year-over-year sales increase in our flagship locations. This report underscores why investing in pharmacist-led initiatives is non-negotiable for sustained success in Germany Munich's competitive pharmaceutical landscape.</w:t>
      </w:r>
    </w:p>
    <w:bookmarkEnd w:id="20"/>
    <w:bookmarkStart w:id="21" w:name="X1e2c07c928476565d3866546e45feb3ffebf00e"/>
    <w:p>
      <w:pPr>
        <w:pStyle w:val="Heading2"/>
      </w:pPr>
      <w:r>
        <w:t xml:space="preserve">Market Context: Germany Munich's Pharmacy Landscape</w:t>
      </w:r>
    </w:p>
    <w:p>
      <w:pPr>
        <w:pStyle w:val="FirstParagraph"/>
      </w:pPr>
      <w:r>
        <w:t xml:space="preserve">Munich, as Germany’s third-largest city and a hub for healthcare innovation, presents unique opportunities and challenges. The Bavarian capital hosts over 450 licensed pharmacies within its municipal boundaries (Bayerische Landesärztekammer, 2023), yet only 15% operate under centralized corporate management – our network leads this segment with eight strategically located outlets near major hospitals (e.g., Klinikum Großhadern, Vivantes Hospital). Regulatory frameworks in Germany mandate that every pharmacy must have a licensed Pharmacist on-site for ≥6 hours daily, directly influencing customer trust and sales velocity. In Q3 2023, Munich’s aging demographic (18.4% over 65) amplified demand for chronic disease management products, where pharmacist consultations drove 68% of prescription refills.</w:t>
      </w:r>
    </w:p>
    <w:bookmarkEnd w:id="21"/>
    <w:bookmarkStart w:id="22" w:name="key-sales-performance-metrics"/>
    <w:p>
      <w:pPr>
        <w:pStyle w:val="Heading2"/>
      </w:pPr>
      <w:r>
        <w:t xml:space="preserve">Key Sales Performance Metrics</w:t>
      </w:r>
    </w:p>
    <w:p>
      <w:pPr>
        <w:pStyle w:val="FirstParagraph"/>
      </w:pPr>
      <w:r>
        <w:rPr>
          <w:bCs/>
          <w:b/>
        </w:rPr>
        <w:t xml:space="preserve">Overall Revenue:</w:t>
      </w:r>
      <w:r>
        <w:t xml:space="preserve"> </w:t>
      </w:r>
      <w:r>
        <w:t xml:space="preserve">€1,247,000 (↑12.7% YoY)</w:t>
      </w:r>
      <w:r>
        <w:br/>
      </w:r>
      <w:r>
        <w:rPr>
          <w:bCs/>
          <w:b/>
        </w:rPr>
        <w:t xml:space="preserve">Pharmacist-Generated Sales Share:</w:t>
      </w:r>
      <w:r>
        <w:t xml:space="preserve"> </w:t>
      </w:r>
      <w:r>
        <w:t xml:space="preserve">63.5% of total revenue</w:t>
      </w:r>
      <w:r>
        <w:br/>
      </w:r>
      <w:r>
        <w:rPr>
          <w:bCs/>
          <w:b/>
        </w:rPr>
        <w:t xml:space="preserve">Top-Performing Product Categories:</w:t>
      </w:r>
    </w:p>
    <w:p>
      <w:pPr>
        <w:numPr>
          <w:ilvl w:val="0"/>
          <w:numId w:val="1001"/>
        </w:numPr>
        <w:pStyle w:val="Compact"/>
      </w:pPr>
      <w:r>
        <w:rPr>
          <w:iCs/>
          <w:i/>
        </w:rPr>
        <w:t xml:space="preserve">Chronic Medications (Diabetes, Cardiovascular):</w:t>
      </w:r>
      <w:r>
        <w:t xml:space="preserve"> </w:t>
      </w:r>
      <w:r>
        <w:t xml:space="preserve">€420,500 (↑15.2%) – Driven by pharmacist-led patient education programs</w:t>
      </w:r>
    </w:p>
    <w:p>
      <w:pPr>
        <w:numPr>
          <w:ilvl w:val="0"/>
          <w:numId w:val="1001"/>
        </w:numPr>
        <w:pStyle w:val="Compact"/>
      </w:pPr>
      <w:r>
        <w:rPr>
          <w:iCs/>
          <w:i/>
        </w:rPr>
        <w:t xml:space="preserve">Over-the-Counter Wellness Products:</w:t>
      </w:r>
      <w:r>
        <w:t xml:space="preserve"> </w:t>
      </w:r>
      <w:r>
        <w:t xml:space="preserve">€318,700 (↑19.4%) – Pharmacist recommendations increased basket size by 32%</w:t>
      </w:r>
    </w:p>
    <w:p>
      <w:pPr>
        <w:numPr>
          <w:ilvl w:val="0"/>
          <w:numId w:val="1001"/>
        </w:numPr>
        <w:pStyle w:val="Compact"/>
      </w:pPr>
      <w:r>
        <w:rPr>
          <w:iCs/>
          <w:i/>
        </w:rPr>
        <w:t xml:space="preserve">Vitamins &amp; Supplements:</w:t>
      </w:r>
      <w:r>
        <w:t xml:space="preserve"> </w:t>
      </w:r>
      <w:r>
        <w:t xml:space="preserve">€256,300 (↑24.8%) – Pharmacists identified 75% of new customer leads through health screenings</w:t>
      </w:r>
    </w:p>
    <w:p>
      <w:pPr>
        <w:pStyle w:val="FirstParagraph"/>
      </w:pPr>
      <w:r>
        <w:t xml:space="preserve">Notably, pharmacies staffed with certified clinical pharmacists (Fachapotheker) generated 28% higher sales per square meter than those without specialized pharmacist support. In Germany Munich, this specialization directly aligns with Bayerische Apothekerkammer’s emphasis on advanced therapeutic counseling as a core pharmacist duty.</w:t>
      </w:r>
    </w:p>
    <w:bookmarkEnd w:id="22"/>
    <w:bookmarkStart w:id="23" w:name="X64df8b77dad70a6ab006d2bcfef7d0b7677aadc"/>
    <w:p>
      <w:pPr>
        <w:pStyle w:val="Heading2"/>
      </w:pPr>
      <w:r>
        <w:t xml:space="preserve">The Pharmacist: Our Most Valuable Sales Asset</w:t>
      </w:r>
    </w:p>
    <w:p>
      <w:pPr>
        <w:pStyle w:val="FirstParagraph"/>
      </w:pPr>
      <w:r>
        <w:t xml:space="preserve">This report affirms that the Pharmacist is not merely a dispensing role but the strategic engine of our Munich sales strategy. Key evidence includes:</w:t>
      </w:r>
    </w:p>
    <w:p>
      <w:pPr>
        <w:numPr>
          <w:ilvl w:val="0"/>
          <w:numId w:val="1002"/>
        </w:numPr>
        <w:pStyle w:val="Compact"/>
      </w:pPr>
      <w:r>
        <w:rPr>
          <w:bCs/>
          <w:b/>
        </w:rPr>
        <w:t xml:space="preserve">Consultation-Driven Sales:</w:t>
      </w:r>
      <w:r>
        <w:t xml:space="preserve"> </w:t>
      </w:r>
      <w:r>
        <w:t xml:space="preserve">67% of OTC product sales originated from pharmacist-led health consultations (vs. 32% industry average). Example: A Pharmacist at the Schwabing outlet identified a patient’s undiagnosed vitamin D deficiency during a flu vaccine consultation, generating €280 in follow-up supplement sales.</w:t>
      </w:r>
    </w:p>
    <w:p>
      <w:pPr>
        <w:numPr>
          <w:ilvl w:val="0"/>
          <w:numId w:val="1002"/>
        </w:numPr>
        <w:pStyle w:val="Compact"/>
      </w:pPr>
      <w:r>
        <w:rPr>
          <w:bCs/>
          <w:b/>
        </w:rPr>
        <w:t xml:space="preserve">Retention Rates:</w:t>
      </w:r>
      <w:r>
        <w:t xml:space="preserve"> </w:t>
      </w:r>
      <w:r>
        <w:t xml:space="preserve">Locations with consistent pharmacist presence (≥4 hrs/day) achieved 89% customer retention – 31% higher than market average. Patients cite "trust in their Pharmacist’s advice" as the primary reason for loyalty (Munich Customer Satisfaction Survey, Q3).</w:t>
      </w:r>
    </w:p>
    <w:p>
      <w:pPr>
        <w:numPr>
          <w:ilvl w:val="0"/>
          <w:numId w:val="1002"/>
        </w:numPr>
        <w:pStyle w:val="Compact"/>
      </w:pPr>
      <w:r>
        <w:rPr>
          <w:bCs/>
          <w:b/>
        </w:rPr>
        <w:t xml:space="preserve">Regulatory Advantage:</w:t>
      </w:r>
      <w:r>
        <w:t xml:space="preserve"> </w:t>
      </w:r>
      <w:r>
        <w:t xml:space="preserve">Germany Munich’s strict adherence to Apothekenordnung requires pharmacist verification of all prescriptions. Our pharmacists reduced prescription errors by 42%, preventing revenue loss from rejected claims.</w:t>
      </w:r>
    </w:p>
    <w:bookmarkEnd w:id="23"/>
    <w:bookmarkStart w:id="24" w:name="challenges-in-the-germany-munich-market"/>
    <w:p>
      <w:pPr>
        <w:pStyle w:val="Heading2"/>
      </w:pPr>
      <w:r>
        <w:t xml:space="preserve">Challenges in the Germany Munich Market</w:t>
      </w:r>
    </w:p>
    <w:p>
      <w:pPr>
        <w:pStyle w:val="FirstParagraph"/>
      </w:pPr>
      <w:r>
        <w:t xml:space="preserve">Despite strong results, two critical challenges require pharmacist-centric solutions:</w:t>
      </w:r>
    </w:p>
    <w:p>
      <w:pPr>
        <w:numPr>
          <w:ilvl w:val="0"/>
          <w:numId w:val="1003"/>
        </w:numPr>
        <w:pStyle w:val="Compact"/>
      </w:pPr>
      <w:r>
        <w:rPr>
          <w:bCs/>
          <w:b/>
        </w:rPr>
        <w:t xml:space="preserve">Labor Shortages:</w:t>
      </w:r>
      <w:r>
        <w:t xml:space="preserve"> </w:t>
      </w:r>
      <w:r>
        <w:t xml:space="preserve">Munich faces a 17% pharmacist vacancy rate (Bundesapothekerkammer, Sept 2023). We mitigated this by cross-training technicians for non-clinical tasks, freeing pharmacists to focus on high-value patient interactions – directly protecting our sales growth trajectory.</w:t>
      </w:r>
    </w:p>
    <w:p>
      <w:pPr>
        <w:numPr>
          <w:ilvl w:val="0"/>
          <w:numId w:val="1003"/>
        </w:numPr>
        <w:pStyle w:val="Compact"/>
      </w:pPr>
      <w:r>
        <w:rPr>
          <w:bCs/>
          <w:b/>
        </w:rPr>
        <w:t xml:space="preserve">Competitive Pressure:</w:t>
      </w:r>
      <w:r>
        <w:t xml:space="preserve"> </w:t>
      </w:r>
      <w:r>
        <w:t xml:space="preserve">Discount chains like Rossmann are expanding in Munich suburbs. Our counter-strategy leverages pharmacist expertise: 82% of customers at our Neuherberg location chose us over competitors due to "personalized health advice," not price alone.</w:t>
      </w:r>
    </w:p>
    <w:bookmarkEnd w:id="24"/>
    <w:bookmarkStart w:id="25" w:name="X76a2113fef8e7665391d4dc6f0a3cea4fb55d36"/>
    <w:p>
      <w:pPr>
        <w:pStyle w:val="Heading2"/>
      </w:pPr>
      <w:r>
        <w:t xml:space="preserve">Pharmacist Development Initiatives Fueling Growth</w:t>
      </w:r>
    </w:p>
    <w:p>
      <w:pPr>
        <w:pStyle w:val="FirstParagraph"/>
      </w:pPr>
      <w:r>
        <w:t xml:space="preserve">To sustain momentum in Germany Munich, we implemented three pharmacist-focused programs:</w:t>
      </w:r>
    </w:p>
    <w:p>
      <w:pPr>
        <w:numPr>
          <w:ilvl w:val="0"/>
          <w:numId w:val="1004"/>
        </w:numPr>
        <w:pStyle w:val="Compact"/>
      </w:pPr>
      <w:r>
        <w:rPr>
          <w:iCs/>
          <w:i/>
        </w:rPr>
        <w:t xml:space="preserve">Specialty Certification Track:</w:t>
      </w:r>
      <w:r>
        <w:t xml:space="preserve"> </w:t>
      </w:r>
      <w:r>
        <w:t xml:space="preserve">12 pharmacists completed diabetes management training (in partnership with University of Munich), enabling targeted product bundles that drove a €150k sales spike in Q3.</w:t>
      </w:r>
    </w:p>
    <w:p>
      <w:pPr>
        <w:numPr>
          <w:ilvl w:val="0"/>
          <w:numId w:val="1004"/>
        </w:numPr>
        <w:pStyle w:val="Compact"/>
      </w:pPr>
      <w:r>
        <w:rPr>
          <w:iCs/>
          <w:i/>
        </w:rPr>
        <w:t xml:space="preserve">Health Screening Kiosks:</w:t>
      </w:r>
      <w:r>
        <w:t xml:space="preserve"> </w:t>
      </w:r>
      <w:r>
        <w:t xml:space="preserve">Pharmacists at Munich-Pasing clinic offered free blood pressure checks, generating 247 new leads for chronic medication programs (converting to €89k in sales).</w:t>
      </w:r>
    </w:p>
    <w:p>
      <w:pPr>
        <w:numPr>
          <w:ilvl w:val="0"/>
          <w:numId w:val="1004"/>
        </w:numPr>
        <w:pStyle w:val="Compact"/>
      </w:pPr>
      <w:r>
        <w:rPr>
          <w:iCs/>
          <w:i/>
        </w:rPr>
        <w:t xml:space="preserve">Multilingual Support:</w:t>
      </w:r>
      <w:r>
        <w:t xml:space="preserve"> </w:t>
      </w:r>
      <w:r>
        <w:t xml:space="preserve">Hiring pharmacists fluent in English, Turkish, and Arabic – critical for Munich’s diverse population (14.3% non-German residents) – increased international customer revenue by 22%.</w:t>
      </w:r>
    </w:p>
    <w:bookmarkEnd w:id="25"/>
    <w:bookmarkStart w:id="26" w:name="X87661201cf44eb1032f178a6534e719e70c8ccd"/>
    <w:p>
      <w:pPr>
        <w:pStyle w:val="Heading2"/>
      </w:pPr>
      <w:r>
        <w:t xml:space="preserve">Future Outlook: Pharmacist-Led Expansion in Germany Munich</w:t>
      </w:r>
    </w:p>
    <w:p>
      <w:pPr>
        <w:pStyle w:val="FirstParagraph"/>
      </w:pPr>
      <w:r>
        <w:t xml:space="preserve">The Q3 Sales Report confirms that the Pharmacist is our most scalable sales asset in Germany Munich. We project 15–18% YoY growth for 2024 by doubling down on pharmacist empowerment:</w:t>
      </w:r>
    </w:p>
    <w:p>
      <w:pPr>
        <w:numPr>
          <w:ilvl w:val="0"/>
          <w:numId w:val="1005"/>
        </w:numPr>
        <w:pStyle w:val="Compact"/>
      </w:pPr>
      <w:r>
        <w:t xml:space="preserve">Expanding specialty clinics (e.g., oncology support) within two new Munich locations</w:t>
      </w:r>
    </w:p>
    <w:p>
      <w:pPr>
        <w:numPr>
          <w:ilvl w:val="0"/>
          <w:numId w:val="1005"/>
        </w:numPr>
        <w:pStyle w:val="Compact"/>
      </w:pPr>
      <w:r>
        <w:t xml:space="preserve">Integrating pharmacists into hospital referral networks (e.g., partnering with Klinikum München-Lichtenberg for post-discharge medication management)</w:t>
      </w:r>
    </w:p>
    <w:p>
      <w:pPr>
        <w:numPr>
          <w:ilvl w:val="0"/>
          <w:numId w:val="1005"/>
        </w:numPr>
        <w:pStyle w:val="Compact"/>
      </w:pPr>
      <w:r>
        <w:t xml:space="preserve">Launching "Pharmacist Choice" loyalty program where customers earn points for consultation-based product purchases</w:t>
      </w:r>
    </w:p>
    <w:p>
      <w:pPr>
        <w:pStyle w:val="FirstParagraph"/>
      </w:pPr>
      <w:r>
        <w:t xml:space="preserve">In Germany Munich, where healthcare access is deeply personal and regulation demands pharmacist oversight, our Sales Report proves that investing in the Pharmacist isn’t just ethical—it’s the most effective commercial strategy. As we move into Q4 2023, all initiatives will prioritize pharmacist capability development to maintain our leadership in this critical market.</w:t>
      </w:r>
    </w:p>
    <w:bookmarkEnd w:id="26"/>
    <w:bookmarkStart w:id="27" w:name="conclusion"/>
    <w:p>
      <w:pPr>
        <w:pStyle w:val="Heading2"/>
      </w:pPr>
      <w:r>
        <w:t xml:space="preserve">Conclusion</w:t>
      </w:r>
    </w:p>
    <w:p>
      <w:pPr>
        <w:pStyle w:val="FirstParagraph"/>
      </w:pPr>
      <w:r>
        <w:t xml:space="preserve">This Sales Report leaves no doubt: In Germany Munich’s pharmacy sector, success is defined by the Pharmacist. Their clinical expertise transforms transactions into trusted relationships, directly lifting revenue where competitors rely on price wars. By embedding pharmacists as strategic sales leaders – not just compliance requirements – we’ve built a resilient model that delivers sustainable growth in one of Europe’s most demanding healthcare markets.</w:t>
      </w:r>
    </w:p>
    <w:p>
      <w:pPr>
        <w:pStyle w:val="BodyText"/>
      </w:pPr>
      <w:r>
        <w:rPr>
          <w:bCs/>
          <w:b/>
        </w:rPr>
        <w:t xml:space="preserve">Prepared By:</w:t>
      </w:r>
      <w:r>
        <w:t xml:space="preserve"> </w:t>
      </w:r>
      <w:r>
        <w:t xml:space="preserve">Regional Sales Analytics Team</w:t>
      </w:r>
      <w:r>
        <w:br/>
      </w:r>
      <w:r>
        <w:rPr>
          <w:bCs/>
          <w:b/>
        </w:rPr>
        <w:t xml:space="preserve">Approved For:</w:t>
      </w:r>
      <w:r>
        <w:t xml:space="preserve"> </w:t>
      </w:r>
      <w:r>
        <w:t xml:space="preserve">Bavarian Pharmacy Operations,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Pharmacist Performance in Germany Munich</dc:title>
  <dc:creator/>
  <dc:language>en</dc:language>
  <cp:keywords/>
  <dcterms:created xsi:type="dcterms:W3CDTF">2026-07-20T19:23:54Z</dcterms:created>
  <dcterms:modified xsi:type="dcterms:W3CDTF">2026-07-20T19:23:54Z</dcterms:modified>
</cp:coreProperties>
</file>

<file path=docProps/custom.xml><?xml version="1.0" encoding="utf-8"?>
<Properties xmlns="http://schemas.openxmlformats.org/officeDocument/2006/custom-properties" xmlns:vt="http://schemas.openxmlformats.org/officeDocument/2006/docPropsVTypes"/>
</file>