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28" w:name="Xeeeb852fbff3f172113aca94508f1da18a4bc31"/>
    <w:p>
      <w:pPr>
        <w:pStyle w:val="Heading1"/>
      </w:pPr>
      <w:r>
        <w:t xml:space="preserve">Comprehensive Sales Report for Pharmacist Operations in Indonesia Jakarta</w:t>
      </w:r>
    </w:p>
    <w:bookmarkStart w:id="20" w:name="Xfe7fd71e6a1c17a82fda0475f99e37299c1f144"/>
    <w:p>
      <w:pPr>
        <w:pStyle w:val="Heading2"/>
      </w:pPr>
      <w:r>
        <w:t xml:space="preserve">Prepared For: Jakarta Pharmaceutical Distribution Network</w:t>
      </w:r>
    </w:p>
    <w:p>
      <w:pPr>
        <w:pStyle w:val="FirstParagraph"/>
      </w:pPr>
      <w:r>
        <w:t xml:space="preserve">Date: October 26, 2023 | Report Period: July 1 - September 30, 2023</w:t>
      </w:r>
    </w:p>
    <w:bookmarkEnd w:id="20"/>
    <w:bookmarkStart w:id="21" w:name="executive-summary"/>
    <w:p>
      <w:pPr>
        <w:pStyle w:val="Heading2"/>
      </w:pPr>
      <w:r>
        <w:t xml:space="preserve">Executive Summary</w:t>
      </w:r>
    </w:p>
    <w:p>
      <w:pPr>
        <w:pStyle w:val="FirstParagraph"/>
      </w:pPr>
      <w:r>
        <w:t xml:space="preserve">This Sales Report details the operational performance of licensed Pharmacists managing retail pharmacy outlets across Jakarta metropolitan area. The analysis covers critical sales metrics, market trends, and strategic recommendations tailored to Indonesia's evolving healthcare landscape. With Jakarta representing 18% of Indonesia's total pharmaceutical market value (BPS 2023), this report underscores the pivotal role Pharmacist professionals play in driving both commercial success and community health outcomes. Our data reveals a robust 12.7% year-over-year sales growth, significantly outperforming national averages, demonstrating Jakarta's position as Indonesia's most dynamic pharmaceutical market.</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Sales (IDR)</w:t>
            </w:r>
          </w:p>
        </w:tc>
        <w:tc>
          <w:tcPr/>
          <w:p>
            <w:pPr>
              <w:pStyle w:val="Compact"/>
              <w:jc w:val="left"/>
            </w:pPr>
            <w:r>
              <w:t xml:space="preserve">YoY Change</w:t>
            </w:r>
          </w:p>
        </w:tc>
        <w:tc>
          <w:tcPr/>
          <w:p>
            <w:pPr>
              <w:pStyle w:val="Compact"/>
              <w:jc w:val="left"/>
            </w:pPr>
            <w:r>
              <w:t xml:space="preserve">% of Total Sales</w:t>
            </w:r>
          </w:p>
        </w:tc>
      </w:tr>
      <w:tr>
        <w:tc>
          <w:tcPr/>
          <w:p>
            <w:pPr>
              <w:pStyle w:val="Compact"/>
              <w:jc w:val="left"/>
            </w:pPr>
            <w:r>
              <w:t xml:space="preserve">OTC Medicines &amp; Supplements</w:t>
            </w:r>
          </w:p>
        </w:tc>
        <w:tc>
          <w:tcPr/>
          <w:p>
            <w:pPr>
              <w:pStyle w:val="Compact"/>
              <w:jc w:val="left"/>
            </w:pPr>
            <w:r>
              <w:t xml:space="preserve">48,500,000,000</w:t>
            </w:r>
          </w:p>
        </w:tc>
        <w:tc>
          <w:tcPr/>
          <w:p>
            <w:pPr>
              <w:pStyle w:val="Compact"/>
              <w:jc w:val="left"/>
            </w:pPr>
            <w:r>
              <w:t xml:space="preserve">+15.2%</w:t>
            </w:r>
          </w:p>
        </w:tc>
        <w:tc>
          <w:tcPr/>
          <w:p>
            <w:pPr>
              <w:pStyle w:val="Compact"/>
              <w:jc w:val="left"/>
            </w:pPr>
            <w:r>
              <w:t xml:space="preserve">42.1%</w:t>
            </w:r>
          </w:p>
        </w:tc>
      </w:tr>
      <w:tr>
        <w:tc>
          <w:tcPr/>
          <w:p>
            <w:pPr>
              <w:pStyle w:val="Compact"/>
              <w:jc w:val="left"/>
            </w:pPr>
            <w:r>
              <w:t xml:space="preserve">Prescription Medicines</w:t>
            </w:r>
          </w:p>
        </w:tc>
        <w:tc>
          <w:tcPr/>
          <w:p>
            <w:pPr>
              <w:pStyle w:val="Compact"/>
              <w:jc w:val="left"/>
            </w:pPr>
            <w:r>
              <w:t xml:space="preserve">37,285,678,900</w:t>
            </w:r>
          </w:p>
        </w:tc>
        <w:tc>
          <w:tcPr/>
          <w:p>
            <w:pPr>
              <w:pStyle w:val="Compact"/>
              <w:jc w:val="left"/>
            </w:pPr>
            <w:r>
              <w:t xml:space="preserve">+9.8%</w:t>
            </w:r>
          </w:p>
        </w:tc>
        <w:tc>
          <w:tcPr/>
          <w:p>
            <w:pPr>
              <w:pStyle w:val="Compact"/>
              <w:jc w:val="left"/>
            </w:pPr>
            <w:r>
              <w:t xml:space="preserve">32.4%</w:t>
            </w:r>
          </w:p>
        </w:tc>
      </w:tr>
      <w:tr>
        <w:tc>
          <w:tcPr/>
          <w:p>
            <w:pPr>
              <w:pStyle w:val="Compact"/>
              <w:jc w:val="left"/>
            </w:pPr>
            <w:r>
              <w:t xml:space="preserve">Health &amp; Personal Care</w:t>
            </w:r>
          </w:p>
        </w:tc>
        <w:tc>
          <w:tcPr/>
          <w:p>
            <w:pPr>
              <w:pStyle w:val="Compact"/>
              <w:jc w:val="left"/>
            </w:pPr>
            <w:r>
              <w:t xml:space="preserve">19,450,235,670</w:t>
            </w:r>
          </w:p>
        </w:tc>
        <w:tc>
          <w:tcPr/>
          <w:p>
            <w:pPr>
              <w:pStyle w:val="Compact"/>
              <w:jc w:val="left"/>
            </w:pPr>
            <w:r>
              <w:t xml:space="preserve">+18.7%</w:t>
            </w:r>
          </w:p>
        </w:tc>
        <w:tc>
          <w:tcPr/>
          <w:p>
            <w:pPr>
              <w:pStyle w:val="Compact"/>
              <w:jc w:val="left"/>
            </w:pPr>
            <w:r>
              <w:t xml:space="preserve">16.9%</w:t>
            </w:r>
          </w:p>
        </w:tc>
      </w:tr>
      <w:tr>
        <w:tc>
          <w:tcPr/>
          <w:p>
            <w:pPr>
              <w:pStyle w:val="Compact"/>
              <w:jc w:val="left"/>
            </w:pPr>
            <w:r>
              <w:t xml:space="preserve">Nutritional Products</w:t>
            </w:r>
          </w:p>
        </w:tc>
        <w:tc>
          <w:tcPr/>
          <w:p>
            <w:pPr>
              <w:pStyle w:val="Compact"/>
              <w:jc w:val="left"/>
            </w:pPr>
            <w:r>
              <w:t xml:space="preserve">8,342,098,500</w:t>
            </w:r>
          </w:p>
        </w:tc>
        <w:tc>
          <w:tcPr/>
          <w:p>
            <w:pPr>
              <w:pStyle w:val="Compact"/>
              <w:jc w:val="left"/>
            </w:pPr>
            <w:r>
              <w:t xml:space="preserve">+22.3%</w:t>
            </w:r>
          </w:p>
        </w:tc>
        <w:tc>
          <w:tcPr/>
          <w:p>
            <w:pPr>
              <w:pStyle w:val="Compact"/>
              <w:jc w:val="left"/>
            </w:pPr>
            <w:r>
              <w:t xml:space="preserve">7.3%</w:t>
            </w:r>
          </w:p>
        </w:tc>
      </w:tr>
      <w:tr>
        <w:tc>
          <w:tcPr/>
          <w:p>
            <w:pPr>
              <w:pStyle w:val="Compact"/>
              <w:jc w:val="left"/>
            </w:pPr>
            <w:r>
              <w:t xml:space="preserve">Total Sales</w:t>
            </w:r>
          </w:p>
        </w:tc>
        <w:tc>
          <w:tcPr/>
          <w:p>
            <w:pPr>
              <w:pStyle w:val="Compact"/>
              <w:jc w:val="left"/>
            </w:pPr>
            <w:r>
              <w:rPr>
                <w:bCs/>
                <w:b/>
              </w:rPr>
              <w:t xml:space="preserve">113,578,013,070</w:t>
            </w:r>
          </w:p>
        </w:tc>
        <w:tc>
          <w:tcPr/>
          <w:p>
            <w:pPr>
              <w:pStyle w:val="Compact"/>
              <w:jc w:val="left"/>
            </w:pPr>
            <w:r>
              <w:rPr>
                <w:bCs/>
                <w:b/>
              </w:rPr>
              <w:t xml:space="preserve">+12.7%</w:t>
            </w:r>
          </w:p>
        </w:tc>
        <w:tc>
          <w:tcPr/>
          <w:p>
            <w:pPr>
              <w:pStyle w:val="Compact"/>
              <w:jc w:val="left"/>
            </w:pPr>
            <w:r>
              <w:rPr>
                <w:bCs/>
                <w:b/>
              </w:rPr>
              <w:t xml:space="preserve">100%</w:t>
            </w:r>
          </w:p>
        </w:tc>
      </w:tr>
    </w:tbl>
    <w:bookmarkEnd w:id="22"/>
    <w:bookmarkStart w:id="23" w:name="Xc51b15cb47e37896eb8d2c2566b895ece94171a"/>
    <w:p>
      <w:pPr>
        <w:pStyle w:val="Heading2"/>
      </w:pPr>
      <w:r>
        <w:t xml:space="preserve">Pharmacist-Driven Success Factors in Jakarta</w:t>
      </w:r>
    </w:p>
    <w:p>
      <w:pPr>
        <w:pStyle w:val="FirstParagraph"/>
      </w:pPr>
      <w:r>
        <w:t xml:space="preserve">The remarkable performance directly correlates with strategic pharmacist-led initiatives implemented across 38 outlets in Jakarta. Key differentiators include:</w:t>
      </w:r>
    </w:p>
    <w:p>
      <w:pPr>
        <w:numPr>
          <w:ilvl w:val="0"/>
          <w:numId w:val="1001"/>
        </w:numPr>
        <w:pStyle w:val="Compact"/>
      </w:pPr>
      <w:r>
        <w:rPr>
          <w:bCs/>
          <w:b/>
        </w:rPr>
        <w:t xml:space="preserve">Personalized Patient Consultations:</w:t>
      </w:r>
      <w:r>
        <w:t xml:space="preserve"> </w:t>
      </w:r>
      <w:r>
        <w:t xml:space="preserve">Licensed Pharmacist professionals conducted 14,500+ monthly health consultations (up 27% from Q2), significantly increasing prescription adherence and cross-selling opportunities for complementary products. In Jakarta's dense urban environment, this personalized touch reduced customer acquisition costs by 19%.</w:t>
      </w:r>
    </w:p>
    <w:p>
      <w:pPr>
        <w:numPr>
          <w:ilvl w:val="0"/>
          <w:numId w:val="1001"/>
        </w:numPr>
        <w:pStyle w:val="Compact"/>
      </w:pPr>
      <w:r>
        <w:rPr>
          <w:bCs/>
          <w:b/>
        </w:rPr>
        <w:t xml:space="preserve">Community Health Programs:</w:t>
      </w:r>
      <w:r>
        <w:t xml:space="preserve"> </w:t>
      </w:r>
      <w:r>
        <w:t xml:space="preserve">Pharmacist teams launched "Jakarta Healthy Families" initiatives offering free blood pressure monitoring, diabetes management workshops, and vaccination support at 8 flagship locations. This generated 32% of new customers and increased average transaction value by IDR 145,000.</w:t>
      </w:r>
    </w:p>
    <w:p>
      <w:pPr>
        <w:numPr>
          <w:ilvl w:val="0"/>
          <w:numId w:val="1001"/>
        </w:numPr>
        <w:pStyle w:val="Compact"/>
      </w:pPr>
      <w:r>
        <w:rPr>
          <w:bCs/>
          <w:b/>
        </w:rPr>
        <w:t xml:space="preserve">Data-Driven Inventory Management:</w:t>
      </w:r>
      <w:r>
        <w:t xml:space="preserve"> </w:t>
      </w:r>
      <w:r>
        <w:t xml:space="preserve">Real-time sales analytics provided to Pharmacist staff enabled dynamic stock allocation across Jakarta's varied neighborhoods (from affluent South Jakarta to emerging areas like Ciputat). This reduced out-of-stocks by 38% and minimized expired inventory losses by IDR 2.1 billion annually.</w:t>
      </w:r>
    </w:p>
    <w:bookmarkEnd w:id="23"/>
    <w:bookmarkStart w:id="24" w:name="X18e60ce9cc2a08c4a9d05dbe5b820524d2279bc"/>
    <w:p>
      <w:pPr>
        <w:pStyle w:val="Heading2"/>
      </w:pPr>
      <w:r>
        <w:t xml:space="preserve">Market-Specific Challenges in Indonesia Jakarta</w:t>
      </w:r>
    </w:p>
    <w:p>
      <w:pPr>
        <w:pStyle w:val="FirstParagraph"/>
      </w:pPr>
      <w:r>
        <w:t xml:space="preserve">Despite strong performance, our Pharmacist teams identified critical market challenges unique to Jakarta:</w:t>
      </w:r>
    </w:p>
    <w:p>
      <w:pPr>
        <w:numPr>
          <w:ilvl w:val="0"/>
          <w:numId w:val="1002"/>
        </w:numPr>
        <w:pStyle w:val="Compact"/>
      </w:pPr>
      <w:r>
        <w:rPr>
          <w:bCs/>
          <w:b/>
        </w:rPr>
        <w:t xml:space="preserve">Regulatory Compliance Pressures:</w:t>
      </w:r>
      <w:r>
        <w:t xml:space="preserve"> </w:t>
      </w:r>
      <w:r>
        <w:t xml:space="preserve">Recent Ministry of Health Regulation No. 48/2023 requires enhanced documentation for prescription handling. Pharmacist staff reported 15-20% increased administrative time daily, directly impacting customer service capacity during peak hours (9am-1pm).</w:t>
      </w:r>
    </w:p>
    <w:p>
      <w:pPr>
        <w:numPr>
          <w:ilvl w:val="0"/>
          <w:numId w:val="1002"/>
        </w:numPr>
        <w:pStyle w:val="Compact"/>
      </w:pPr>
      <w:r>
        <w:rPr>
          <w:bCs/>
          <w:b/>
        </w:rPr>
        <w:t xml:space="preserve">Urban Competition Dynamics:</w:t>
      </w:r>
      <w:r>
        <w:t xml:space="preserve"> </w:t>
      </w:r>
      <w:r>
        <w:t xml:space="preserve">The Jakarta market has seen a 35% surge in new pharmacy outlets (mostly chain stores) since 2021. Pharmacist-led independents face pressure on price positioning while maintaining service quality across high-cost areas like Central Jakarta.</w:t>
      </w:r>
    </w:p>
    <w:p>
      <w:pPr>
        <w:numPr>
          <w:ilvl w:val="0"/>
          <w:numId w:val="1002"/>
        </w:numPr>
        <w:pStyle w:val="Compact"/>
      </w:pPr>
      <w:r>
        <w:rPr>
          <w:bCs/>
          <w:b/>
        </w:rPr>
        <w:t xml:space="preserve">Digital Adoption Gap:</w:t>
      </w:r>
      <w:r>
        <w:t xml:space="preserve"> </w:t>
      </w:r>
      <w:r>
        <w:t xml:space="preserve">While 78% of Jakarta consumers use e-commerce for medication, only 41% of Pharmacist-managed stores have integrated digital health platforms. This gap creates missed opportunities in a market where 63% of customers prefer online order pickup (KPMG Indonesia, Q3 Report).</w:t>
      </w:r>
    </w:p>
    <w:bookmarkEnd w:id="24"/>
    <w:bookmarkStart w:id="25" w:name="pharmacist-centric-growth-strategies"/>
    <w:p>
      <w:pPr>
        <w:pStyle w:val="Heading2"/>
      </w:pPr>
      <w:r>
        <w:t xml:space="preserve">Pharmacist-Centric Growth Strategies</w:t>
      </w:r>
    </w:p>
    <w:p>
      <w:pPr>
        <w:pStyle w:val="FirstParagraph"/>
      </w:pPr>
      <w:r>
        <w:t xml:space="preserve">To overcome Jakarta-specific challenges while capitalizing on our strengths, we recommend three pharmacist-focused initiatives:</w:t>
      </w:r>
    </w:p>
    <w:p>
      <w:pPr>
        <w:numPr>
          <w:ilvl w:val="0"/>
          <w:numId w:val="1003"/>
        </w:numPr>
        <w:pStyle w:val="Compact"/>
      </w:pPr>
      <w:r>
        <w:rPr>
          <w:bCs/>
          <w:b/>
        </w:rPr>
        <w:t xml:space="preserve">Enhanced Digital Pharmacist Training:</w:t>
      </w:r>
      <w:r>
        <w:t xml:space="preserve"> </w:t>
      </w:r>
      <w:r>
        <w:t xml:space="preserve">Implement mandatory 3-month certification in e-pharmacy management and telehealth consultation protocols for all Jakarta Pharmacists. This will position them as digital health navigators, directly addressing the e-commerce adoption gap. Estimated ROI: 22% higher customer retention within 18 months.</w:t>
      </w:r>
    </w:p>
    <w:p>
      <w:pPr>
        <w:numPr>
          <w:ilvl w:val="0"/>
          <w:numId w:val="1003"/>
        </w:numPr>
        <w:pStyle w:val="Compact"/>
      </w:pPr>
      <w:r>
        <w:rPr>
          <w:bCs/>
          <w:b/>
        </w:rPr>
        <w:t xml:space="preserve">Regulatory Efficiency Task Force:</w:t>
      </w:r>
      <w:r>
        <w:t xml:space="preserve"> </w:t>
      </w:r>
      <w:r>
        <w:t xml:space="preserve">Create dedicated Pharmacist teams to streamline compliance documentation using AI-assisted templates. This will reduce administrative burden by 30%, freeing up time for clinical services during peak hours and improving customer satisfaction scores (CSAT) from current 78% to target 90%.</w:t>
      </w:r>
    </w:p>
    <w:p>
      <w:pPr>
        <w:numPr>
          <w:ilvl w:val="0"/>
          <w:numId w:val="1003"/>
        </w:numPr>
        <w:pStyle w:val="Compact"/>
      </w:pPr>
      <w:r>
        <w:rPr>
          <w:bCs/>
          <w:b/>
        </w:rPr>
        <w:t xml:space="preserve">Hyper-Local Product Curation:</w:t>
      </w:r>
      <w:r>
        <w:t xml:space="preserve"> </w:t>
      </w:r>
      <w:r>
        <w:t xml:space="preserve">Leverage pharmacist insights on Jakarta's neighborhood health patterns to develop region-specific product bundles. For example: "West Jakarta Diabetes Care Kits" containing local preferred brands and culturally appropriate dietary supplements, targeting high-demand areas with 20% higher conversion rates than standard offerings.</w:t>
      </w:r>
    </w:p>
    <w:bookmarkEnd w:id="25"/>
    <w:bookmarkStart w:id="26" w:name="Xe82a6c7ca4812f0cc30134e7100230b01364edc"/>
    <w:p>
      <w:pPr>
        <w:pStyle w:val="Heading2"/>
      </w:pPr>
      <w:r>
        <w:t xml:space="preserve">Conclusion: The Pharmacist as Healthcare Catalyst in Jakarta</w:t>
      </w:r>
    </w:p>
    <w:p>
      <w:pPr>
        <w:pStyle w:val="FirstParagraph"/>
      </w:pPr>
      <w:r>
        <w:t xml:space="preserve">This Sales Report unequivocally demonstrates that Pharmacist professionals are not merely sales personnel but vital healthcare catalysts in Indonesia Jakarta. Our data shows that for every IDR 10,000 invested in pharmacist-led clinical services, we generate IDR 24,356 in additional revenue through increased basket size and customer loyalty. In a market where consumer trust is paramount (87% of Jakartans choose pharmacies based on staff expertise according to Nielsen Indonesia), our Pharmacist teams are the true competitive advantage.</w:t>
      </w:r>
    </w:p>
    <w:p>
      <w:pPr>
        <w:pStyle w:val="BodyText"/>
      </w:pPr>
      <w:r>
        <w:t xml:space="preserve">Looking ahead, we must institutionalize pharmacist leadership across all Jakarta operations. The future of pharmaceutical retail in Indonesia Jakarta requires moving beyond transactional sales to integrated health management – a role where licensed Pharmacists are uniquely positioned to lead. As Indonesia's healthcare system evolves toward greater community-based care, these professional pharmacy services will become even more critical for both commercial success and public health impact.</w:t>
      </w:r>
    </w:p>
    <w:p>
      <w:pPr>
        <w:pStyle w:val="BodyText"/>
      </w:pPr>
      <w:r>
        <w:t xml:space="preserve">We recommend immediate implementation of the proposed strategies, with quarterly Pharmacist performance reviews directly tied to patient outcome metrics alongside sales targets. This holistic approach ensures our Sales Report reflects not just financial results, but the true value of pharmacist expertise in building Jakarta's healthier future.</w:t>
      </w:r>
    </w:p>
    <w:bookmarkEnd w:id="26"/>
    <w:bookmarkStart w:id="27" w:name="prepared-by"/>
    <w:p>
      <w:pPr>
        <w:pStyle w:val="Heading2"/>
      </w:pPr>
      <w:r>
        <w:t xml:space="preserve">Prepared By</w:t>
      </w:r>
    </w:p>
    <w:p>
      <w:pPr>
        <w:pStyle w:val="FirstParagraph"/>
      </w:pPr>
      <w:r>
        <w:t xml:space="preserve">Pharmaceutical Operations Division</w:t>
      </w:r>
      <w:r>
        <w:br/>
      </w:r>
      <w:r>
        <w:t xml:space="preserve">Indonesia Jakarta Regional Headquarters</w:t>
      </w:r>
      <w:r>
        <w:br/>
      </w:r>
      <w:r>
        <w:t xml:space="preserve">Contact: operations.jakarta@pharma-indonesia.co.id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Indonesia Jakarta Market Analysis</dc:title>
  <dc:creator/>
  <dc:language>en</dc:language>
  <cp:keywords/>
  <dcterms:created xsi:type="dcterms:W3CDTF">2026-07-23T15:17:47Z</dcterms:created>
  <dcterms:modified xsi:type="dcterms:W3CDTF">2026-07-23T15:17:47Z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