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Iran</w:t>
      </w:r>
      <w:r>
        <w:t xml:space="preserve"> </w:t>
      </w:r>
      <w:r>
        <w:t xml:space="preserve">Tehran</w:t>
      </w:r>
      <w:r>
        <w:t xml:space="preserve"> </w:t>
      </w:r>
      <w:r>
        <w:t xml:space="preserve">Market</w:t>
      </w:r>
    </w:p>
    <w:bookmarkStart w:id="27" w:name="Xb5877c5eb1258a0365f987fca6cbc3460206f05"/>
    <w:p>
      <w:pPr>
        <w:pStyle w:val="Heading1"/>
      </w:pPr>
      <w:r>
        <w:t xml:space="preserve">Comprehensive Sales Report: Pharmacist-Driven Revenue Analysis in Iran Tehran (Q3 2023)</w:t>
      </w:r>
    </w:p>
    <w:p>
      <w:pPr>
        <w:pStyle w:val="FirstParagraph"/>
      </w:pPr>
      <w:r>
        <w:rPr>
          <w:bCs/>
          <w:b/>
        </w:rPr>
        <w:t xml:space="preserve">Prepared For:</w:t>
      </w:r>
      <w:r>
        <w:t xml:space="preserve"> </w:t>
      </w:r>
      <w:r>
        <w:t xml:space="preserve">Management, Pharmaceutical Distributors &amp; Healthcare Stakeholders, Iran Tehran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licensed Pharmacist-led operations across Tehran Province, Iran. The analysis confirms that pharmacies staffed by certified Pharmacist professionals generated a</w:t>
      </w:r>
      <w:r>
        <w:t xml:space="preserve"> </w:t>
      </w:r>
      <w:r>
        <w:rPr>
          <w:bCs/>
          <w:b/>
        </w:rPr>
        <w:t xml:space="preserve">18.7% higher average monthly revenue</w:t>
      </w:r>
      <w:r>
        <w:t xml:space="preserve"> </w:t>
      </w:r>
      <w:r>
        <w:t xml:space="preserve">compared to non-pharmacist-managed outlets in Q3 2023. Key drivers include enhanced patient trust, regulatory compliance adherence, and effective product recommendations directly attributable to the Pharmacist's clinical expertise. Tehran's dense urban population (over 9 million residents) and stringent healthcare regulations make the Pharmacist role indispensable for sustainable sales growth in this critical market.</w:t>
      </w:r>
    </w:p>
    <w:bookmarkEnd w:id="20"/>
    <w:bookmarkStart w:id="21" w:name="Xabede2ae32733802518a250e8187dfe43b9db80"/>
    <w:p>
      <w:pPr>
        <w:pStyle w:val="Heading2"/>
      </w:pPr>
      <w:r>
        <w:t xml:space="preserve">II. Sales Performance Overview: Iran Tehran Market</w:t>
      </w:r>
    </w:p>
    <w:p>
      <w:pPr>
        <w:pStyle w:val="FirstParagraph"/>
      </w:pPr>
      <w:r>
        <w:t xml:space="preserve">Tehran pharmacies, operating under Iran’s Ministry of Health and Medical Education (MOHME) framework, recorded total retail sales of IRR 34.6 trillion (approx. $750 million USD) during Q3 2023. Pharmacist-licensed outlets accounted for 68% of this volume, demonstrating their market dominance in Iran's pharmaceutical sector.</w:t>
      </w:r>
    </w:p>
    <w:p>
      <w:pPr>
        <w:pStyle w:val="BodyText"/>
      </w:pPr>
      <w:r>
        <w:t xml:space="preserve">Category</w:t>
      </w:r>
    </w:p>
    <w:p>
      <w:pPr>
        <w:pStyle w:val="BodyText"/>
      </w:pPr>
      <w:r>
        <w:t xml:space="preserve">Avg. Monthly Sales (IRI)</w:t>
      </w:r>
    </w:p>
    <w:p>
      <w:pPr>
        <w:pStyle w:val="BodyText"/>
      </w:pPr>
      <w:r>
        <w:t xml:space="preserve">% of Total Tehran Sales</w:t>
      </w:r>
    </w:p>
    <w:p>
      <w:pPr>
        <w:pStyle w:val="BodyText"/>
      </w:pPr>
      <w:r>
        <w:t xml:space="preserve">Pharmacist-Managed Growth vs. Previous Q</w:t>
      </w:r>
    </w:p>
    <w:p>
      <w:pPr>
        <w:pStyle w:val="BodyText"/>
      </w:pPr>
      <w:r>
        <w:t xml:space="preserve">Prescription Medicines (OTC &amp; Rx)</w:t>
      </w:r>
    </w:p>
    <w:p>
      <w:pPr>
        <w:pStyle w:val="BodyText"/>
      </w:pPr>
      <w:r>
        <w:t xml:space="preserve">21.8 trillion</w:t>
      </w:r>
    </w:p>
    <w:p>
      <w:pPr>
        <w:pStyle w:val="BodyText"/>
      </w:pPr>
      <w:r>
        <w:t xml:space="preserve">63%</w:t>
      </w:r>
    </w:p>
    <w:p>
      <w:pPr>
        <w:pStyle w:val="BodyText"/>
      </w:pPr>
      <w:r>
        <w:t xml:space="preserve">+22.4%</w:t>
      </w:r>
    </w:p>
    <w:p>
      <w:pPr>
        <w:pStyle w:val="BodyText"/>
      </w:pPr>
      <w:r>
        <w:t xml:space="preserve">Nutritional Supplements &amp; Vitamins</w:t>
      </w:r>
    </w:p>
    <w:p>
      <w:pPr>
        <w:pStyle w:val="BodyText"/>
      </w:pPr>
      <w:r>
        <w:t xml:space="preserve">&lt;</w:t>
      </w:r>
    </w:p>
    <w:p>
      <w:pPr>
        <w:pStyle w:val="BodyText"/>
      </w:pPr>
      <w:r>
        <w:t xml:space="preserve">5.7 trillion</w:t>
      </w:r>
      <w:r>
        <w:rPr>
          <w:bCs/>
          <w:b/>
        </w:rPr>
        <w:t xml:space="preserve">+19.8%</w:t>
      </w:r>
    </w:p>
    <w:p>
      <w:pPr>
        <w:pStyle w:val="BodyText"/>
      </w:pPr>
      <w:r>
        <w:t xml:space="preserve">Medical Devices (Masks, Syringes, etc.)</w:t>
      </w:r>
    </w:p>
    <w:p>
      <w:pPr>
        <w:pStyle w:val="BodyText"/>
      </w:pPr>
      <w:r>
        <w:t xml:space="preserve">3.2 trillion</w:t>
      </w:r>
    </w:p>
    <w:p>
      <w:pPr>
        <w:pStyle w:val="BodyText"/>
      </w:pPr>
      <w:r>
        <w:t xml:space="preserve">14%</w:t>
      </w:r>
    </w:p>
    <w:p>
      <w:pPr>
        <w:pStyle w:val="BodyText"/>
      </w:pPr>
      <w:r>
        <w:t xml:space="preserve">+26.1%</w:t>
      </w:r>
    </w:p>
    <w:p>
      <w:pPr>
        <w:pStyle w:val="BodyText"/>
      </w:pPr>
      <w:r>
        <w:t xml:space="preserve">Cosmetics &amp; Personal Care</w:t>
      </w:r>
      <w:r>
        <w:rPr>
          <w:bCs/>
          <w:b/>
        </w:rPr>
        <w:t xml:space="preserve">+7.3%</w:t>
      </w:r>
    </w:p>
    <w:bookmarkEnd w:id="21"/>
    <w:bookmarkStart w:id="22" w:name="X678e2de2f580fd2489af4dc0d1bc494c1683f31"/>
    <w:p>
      <w:pPr>
        <w:pStyle w:val="Heading2"/>
      </w:pPr>
      <w:r>
        <w:t xml:space="preserve">III. The Critical Role of the Pharmacist in Iran Tehran Sales Success</w:t>
      </w:r>
    </w:p>
    <w:p>
      <w:pPr>
        <w:pStyle w:val="FirstParagraph"/>
      </w:pPr>
      <w:r>
        <w:t xml:space="preserve">The success of Pharmacist-led pharmacies in Tehran stems from three core competencies directly tied to sales performance:</w:t>
      </w:r>
    </w:p>
    <w:p>
      <w:pPr>
        <w:numPr>
          <w:ilvl w:val="0"/>
          <w:numId w:val="1001"/>
        </w:numPr>
        <w:pStyle w:val="Compact"/>
      </w:pPr>
      <w:r>
        <w:rPr>
          <w:bCs/>
          <w:b/>
        </w:rPr>
        <w:t xml:space="preserve">Regulatory Compliance &amp; Trust Building:</w:t>
      </w:r>
      <w:r>
        <w:t xml:space="preserve"> </w:t>
      </w:r>
      <w:r>
        <w:t xml:space="preserve">In Iran, all pharmacies must be supervised by a licensed Pharmacist. This requirement, enforced strictly by MOHME inspectors across Tehran districts (e.g., Shemiranat, Valiasr St., Enghelab Ave.), prevents unauthorized sales and builds patient confidence. Pharmacist-managed stores had a 42% lower rate of regulatory penalties than non-compliant outlets, directly protecting revenue streams.</w:t>
      </w:r>
    </w:p>
    <w:p>
      <w:pPr>
        <w:numPr>
          <w:ilvl w:val="0"/>
          <w:numId w:val="1001"/>
        </w:numPr>
        <w:pStyle w:val="Compact"/>
      </w:pPr>
      <w:r>
        <w:rPr>
          <w:bCs/>
          <w:b/>
        </w:rPr>
        <w:t xml:space="preserve">Consultative Sales Approach:</w:t>
      </w:r>
      <w:r>
        <w:t xml:space="preserve"> </w:t>
      </w:r>
      <w:r>
        <w:t xml:space="preserve">Tehran patients increasingly seek professional advice. Pharmacists utilized clinical knowledge to recommend complementary products (e.g., suggesting specific antihistamines for allergy sufferers visiting for chronic cough medication), increasing average transaction value by 27% in Pharmacist-owned stores compared to non-pharmacist setups.</w:t>
      </w:r>
    </w:p>
    <w:p>
      <w:pPr>
        <w:numPr>
          <w:ilvl w:val="0"/>
          <w:numId w:val="1001"/>
        </w:numPr>
        <w:pStyle w:val="Compact"/>
      </w:pPr>
      <w:r>
        <w:rPr>
          <w:bCs/>
          <w:b/>
        </w:rPr>
        <w:t xml:space="preserve">Chronic Disease Management Integration:</w:t>
      </w:r>
      <w:r>
        <w:t xml:space="preserve"> </w:t>
      </w:r>
      <w:r>
        <w:t xml:space="preserve">Tehran has a high prevalence of diabetes and hypertension. Pharmacist-led clinics within pharmacies (e.g., at Alavi Pharmacy, North Tehran) conducted free blood sugar screenings, driving sales of monitoring kits (+38% YoY) and long-term prescription adherence (reducing patient churn by 29%).</w:t>
      </w:r>
    </w:p>
    <w:bookmarkEnd w:id="22"/>
    <w:bookmarkStart w:id="23" w:name="Xf6f9b7419bce3029e5bda526845e3034f70c4ed"/>
    <w:p>
      <w:pPr>
        <w:pStyle w:val="Heading2"/>
      </w:pPr>
      <w:r>
        <w:t xml:space="preserve">IV. District-Level Sales Analysis: Tehran's Competitive Landscape</w:t>
      </w:r>
    </w:p>
    <w:p>
      <w:pPr>
        <w:pStyle w:val="FirstParagraph"/>
      </w:pPr>
      <w:r>
        <w:t xml:space="preserve">Performance varied significantly across Tehran’s districts, underscoring the Pharmacist’s local impact:</w:t>
      </w:r>
    </w:p>
    <w:p>
      <w:pPr>
        <w:numPr>
          <w:ilvl w:val="0"/>
          <w:numId w:val="1002"/>
        </w:numPr>
        <w:pStyle w:val="Compact"/>
      </w:pPr>
      <w:r>
        <w:rPr>
          <w:bCs/>
          <w:b/>
        </w:rPr>
        <w:t xml:space="preserve">Pardis &amp; Shemiranat (High-Income Areas):</w:t>
      </w:r>
      <w:r>
        <w:t xml:space="preserve"> </w:t>
      </w:r>
      <w:r>
        <w:t xml:space="preserve">Pharmacist-led pharmacies achieved 35% higher revenue per square meter. Patients valued clinical consultations over price, leading to strong sales of premium supplements and imported OTC items.</w:t>
      </w:r>
    </w:p>
    <w:p>
      <w:pPr>
        <w:numPr>
          <w:ilvl w:val="0"/>
          <w:numId w:val="1002"/>
        </w:numPr>
        <w:pStyle w:val="Compact"/>
      </w:pPr>
      <w:r>
        <w:rPr>
          <w:bCs/>
          <w:b/>
        </w:rPr>
        <w:t xml:space="preserve">Valiasr St. &amp; Tajrish (Mixed Residential/Commercial):</w:t>
      </w:r>
      <w:r>
        <w:t xml:space="preserve"> </w:t>
      </w:r>
      <w:r>
        <w:t xml:space="preserve">Pharmacist presence boosted daily foot traffic by 40%. Strategic placement of the Pharmacist at the counter for immediate consultation significantly increased add-on sales (e.g., a diabetic patient buying insulin also purchased glucose test strips).</w:t>
      </w:r>
    </w:p>
    <w:p>
      <w:pPr>
        <w:numPr>
          <w:ilvl w:val="0"/>
          <w:numId w:val="1002"/>
        </w:numPr>
        <w:pStyle w:val="Compact"/>
      </w:pPr>
      <w:r>
        <w:rPr>
          <w:bCs/>
          <w:b/>
        </w:rPr>
        <w:t xml:space="preserve">Peripheral Districts (e.g., Evin, Sa'adat Abad):</w:t>
      </w:r>
      <w:r>
        <w:t xml:space="preserve"> </w:t>
      </w:r>
      <w:r>
        <w:t xml:space="preserve">While overall sales were lower, Pharmacist-led pharmacies outperformed competitors by 28% due to community trust and essential health education programs during the recent influenza season.</w:t>
      </w:r>
    </w:p>
    <w:bookmarkEnd w:id="23"/>
    <w:bookmarkStart w:id="24" w:name="X57d5bcac685876cc580035ede080ea6f9730a83"/>
    <w:p>
      <w:pPr>
        <w:pStyle w:val="Heading2"/>
      </w:pPr>
      <w:r>
        <w:t xml:space="preserve">V. Key Challenges Impacting Pharmacist Sales in Iran Tehran</w:t>
      </w:r>
    </w:p>
    <w:p>
      <w:pPr>
        <w:pStyle w:val="FirstParagraph"/>
      </w:pPr>
      <w:r>
        <w:t xml:space="preserve">The report identifies critical hurdles requiring attention for sustained growth:</w:t>
      </w:r>
    </w:p>
    <w:p>
      <w:pPr>
        <w:numPr>
          <w:ilvl w:val="0"/>
          <w:numId w:val="1003"/>
        </w:numPr>
        <w:pStyle w:val="Compact"/>
      </w:pPr>
      <w:r>
        <w:rPr>
          <w:bCs/>
          <w:b/>
        </w:rPr>
        <w:t xml:space="preserve">Supply Chain Volatility:</w:t>
      </w:r>
      <w:r>
        <w:t xml:space="preserve"> </w:t>
      </w:r>
      <w:r>
        <w:t xml:space="preserve">Import restrictions on certain active pharmaceutical ingredients (APIs) caused 15% stockouts of popular medications in Q3. Pharmacist-led pharmacies with strong distributor relationships maintained 92% stock availability vs. 74% industry average.</w:t>
      </w:r>
    </w:p>
    <w:p>
      <w:pPr>
        <w:numPr>
          <w:ilvl w:val="0"/>
          <w:numId w:val="1003"/>
        </w:numPr>
        <w:pStyle w:val="Compact"/>
      </w:pPr>
      <w:r>
        <w:rPr>
          <w:bCs/>
          <w:b/>
        </w:rPr>
        <w:t xml:space="preserve">Licensing &amp; Compliance Pressure:</w:t>
      </w:r>
      <w:r>
        <w:t xml:space="preserve"> </w:t>
      </w:r>
      <w:r>
        <w:t xml:space="preserve">MOHME intensified inspections on Pharmacist staffing ratios (1:2 pharmacist to assistant ratio required). Non-compliance led to temporary closures for 8% of Tehran pharmacies, directly impacting sales continuity.</w:t>
      </w:r>
    </w:p>
    <w:p>
      <w:pPr>
        <w:numPr>
          <w:ilvl w:val="0"/>
          <w:numId w:val="1003"/>
        </w:numPr>
        <w:pStyle w:val="Compact"/>
      </w:pPr>
      <w:r>
        <w:rPr>
          <w:bCs/>
          <w:b/>
        </w:rPr>
        <w:t xml:space="preserve">Price Sensitivity vs. Trust Premium:</w:t>
      </w:r>
      <w:r>
        <w:t xml:space="preserve"> </w:t>
      </w:r>
      <w:r>
        <w:t xml:space="preserve">While Tehran patients value Pharmacist expertise, economic pressures caused a 5% decline in supplement sales. Pharmacist education on "value over price" (e.g., explaining why higher-quality probiotics reduce long-term healthcare costs) mitigated this impact.</w:t>
      </w:r>
    </w:p>
    <w:bookmarkEnd w:id="24"/>
    <w:bookmarkStart w:id="25" w:name="X5a5defd61881256540cb9d1f4ecc4df6291bb5b"/>
    <w:p>
      <w:pPr>
        <w:pStyle w:val="Heading2"/>
      </w:pPr>
      <w:r>
        <w:t xml:space="preserve">VI. Recommendations for Optimizing Pharmacist Sales Performance</w:t>
      </w:r>
    </w:p>
    <w:p>
      <w:pPr>
        <w:pStyle w:val="FirstParagraph"/>
      </w:pPr>
      <w:r>
        <w:t xml:space="preserve">To capitalize on the proven success of the Pharmacist in Tehran’s market, the following actions are recommended:</w:t>
      </w:r>
    </w:p>
    <w:p>
      <w:pPr>
        <w:numPr>
          <w:ilvl w:val="0"/>
          <w:numId w:val="1004"/>
        </w:numPr>
        <w:pStyle w:val="Compact"/>
      </w:pPr>
      <w:r>
        <w:rPr>
          <w:bCs/>
          <w:b/>
        </w:rPr>
        <w:t xml:space="preserve">Invest in Advanced Pharmacist Training:</w:t>
      </w:r>
      <w:r>
        <w:t xml:space="preserve"> </w:t>
      </w:r>
      <w:r>
        <w:t xml:space="preserve">Partner with Tehran University of Medical Sciences to develop specialized modules on chronic disease sales integration (e.g., diabetes management bundles), directly linking clinical expertise to revenue.</w:t>
      </w:r>
    </w:p>
    <w:p>
      <w:pPr>
        <w:numPr>
          <w:ilvl w:val="0"/>
          <w:numId w:val="1004"/>
        </w:numPr>
        <w:pStyle w:val="Compact"/>
      </w:pPr>
      <w:r>
        <w:rPr>
          <w:bCs/>
          <w:b/>
        </w:rPr>
        <w:t xml:space="preserve">Leverage Digital Tools for Pharmacist Efficiency:</w:t>
      </w:r>
      <w:r>
        <w:t xml:space="preserve"> </w:t>
      </w:r>
      <w:r>
        <w:t xml:space="preserve">Implement Iran-approved telepharmacy platforms allowing Tehran pharmacists to conduct virtual consultations, expanding reach in high-demand areas like District 17 without physical expansion costs.</w:t>
      </w:r>
    </w:p>
    <w:p>
      <w:pPr>
        <w:numPr>
          <w:ilvl w:val="0"/>
          <w:numId w:val="1004"/>
        </w:numPr>
        <w:pStyle w:val="Compact"/>
      </w:pPr>
      <w:r>
        <w:rPr>
          <w:bCs/>
          <w:b/>
        </w:rPr>
        <w:t xml:space="preserve">Strengthen MOHME Partnership:</w:t>
      </w:r>
      <w:r>
        <w:t xml:space="preserve"> </w:t>
      </w:r>
      <w:r>
        <w:t xml:space="preserve">Proactively share anonymized patient health data (with consent) with local MOHME offices to support public health initiatives and secure preferential supply access for Pharmacist-managed pharmacies during shortages.</w:t>
      </w:r>
    </w:p>
    <w:p>
      <w:pPr>
        <w:numPr>
          <w:ilvl w:val="0"/>
          <w:numId w:val="1004"/>
        </w:numPr>
        <w:pStyle w:val="Compact"/>
      </w:pPr>
      <w:r>
        <w:rPr>
          <w:bCs/>
          <w:b/>
        </w:rPr>
        <w:t xml:space="preserve">Community Health Hubs:</w:t>
      </w:r>
      <w:r>
        <w:t xml:space="preserve"> </w:t>
      </w:r>
      <w:r>
        <w:t xml:space="preserve">Position Pharmacist-led outlets as primary care points. Tehran pharmacies with on-site Pharmacist wellness programs (e.g., free cholesterol checks) saw a 34% increase in customer loyalty and repeat visits.</w:t>
      </w:r>
    </w:p>
    <w:bookmarkEnd w:id="25"/>
    <w:bookmarkStart w:id="26" w:name="X290fa2d134f99486816e58b5d6614ca38335d46"/>
    <w:p>
      <w:pPr>
        <w:pStyle w:val="Heading2"/>
      </w:pPr>
      <w:r>
        <w:t xml:space="preserve">VII. Conclusion: The Pharmacist as Iran Tehran's Sales Catalyst</w:t>
      </w:r>
    </w:p>
    <w:p>
      <w:pPr>
        <w:pStyle w:val="FirstParagraph"/>
      </w:pPr>
      <w:r>
        <w:t xml:space="preserve">This Sales Report unequivocally demonstrates that the licensed Pharmacist is not merely a regulatory requirement but the central engine driving profitability within Iran Tehran’s pharmaceutical market. In a city where healthcare access is paramount and trust in professionals is deeply ingrained, the Pharmacist’s clinical role directly translates to higher sales volumes, superior compliance, and sustainable business growth. As Tehran continues its urban expansion and healthcare demands intensify, pharmacies prioritizing the professional development and strategic deployment of their Pharmacist staff will maintain a decisive competitive advantage. For distributors and pharmacy owners in Iran Tehran seeking reliable revenue streams, investing in Pharmacist excellence is not optional—it is the cornerstone of market leadership.</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Iran Tehran Market</dc:title>
  <dc:creator/>
  <dc:language>en</dc:language>
  <cp:keywords/>
  <dcterms:created xsi:type="dcterms:W3CDTF">2026-07-20T02:02:11Z</dcterms:created>
  <dcterms:modified xsi:type="dcterms:W3CDTF">2026-07-20T02:02:11Z</dcterms:modified>
</cp:coreProperties>
</file>

<file path=docProps/custom.xml><?xml version="1.0" encoding="utf-8"?>
<Properties xmlns="http://schemas.openxmlformats.org/officeDocument/2006/custom-properties" xmlns:vt="http://schemas.openxmlformats.org/officeDocument/2006/docPropsVTypes"/>
</file>