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Baghdad,</w:t>
      </w:r>
      <w:r>
        <w:t xml:space="preserve"> </w:t>
      </w:r>
      <w:r>
        <w:t xml:space="preserve">Iraq</w:t>
      </w:r>
    </w:p>
    <w:bookmarkStart w:id="26" w:name="Xda603b650b6ae0c226c85bd34b82a7a92f0e800"/>
    <w:p>
      <w:pPr>
        <w:pStyle w:val="Heading1"/>
      </w:pPr>
      <w:r>
        <w:t xml:space="preserve">Sales Performance Report: Pharmacist Operations in Baghdad, Iraq</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Management &amp; Regional Health Committee, Iraq Baghdad District</w:t>
      </w:r>
    </w:p>
    <w:bookmarkStart w:id="20" w:name="i.-executive-summary"/>
    <w:p>
      <w:pPr>
        <w:pStyle w:val="Heading2"/>
      </w:pPr>
      <w:r>
        <w:t xml:space="preserve">I. Executive Summary</w:t>
      </w:r>
    </w:p>
    <w:p>
      <w:pPr>
        <w:pStyle w:val="FirstParagraph"/>
      </w:pPr>
      <w:r>
        <w:t xml:space="preserve">This comprehensive Sales Report details the performance of pharmacist-led retail operations across Baghdad, Iraq during Q3 2023. The report highlights critical sales metrics, patient service achievements, and strategic challenges specific to the Iraqi pharmaceutical market. Pharmacist teams in Baghdad demonstrated remarkable resilience amid economic volatility and supply chain disruptions, achieving a 12% year-over-year growth in essential medication sales. This Sales Report underscores the indispensable role of the Pharmacist as both a healthcare provider and business manager within Iraq's vital community health infrastructure.</w:t>
      </w:r>
    </w:p>
    <w:bookmarkEnd w:id="20"/>
    <w:bookmarkStart w:id="21" w:name="X07eaf2cbf103cbbb427016eb6b87318dc55cbb4"/>
    <w:p>
      <w:pPr>
        <w:pStyle w:val="Heading2"/>
      </w:pPr>
      <w:r>
        <w:t xml:space="preserve">II. Key Sales Metrics: Baghdad, Iraq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Sales (USD)</w:t>
            </w:r>
          </w:p>
        </w:tc>
        <w:tc>
          <w:tcPr/>
          <w:p>
            <w:pPr>
              <w:pStyle w:val="Compact"/>
              <w:jc w:val="left"/>
            </w:pPr>
            <w:r>
              <w:t xml:space="preserve">% Change vs. Q2 2023</w:t>
            </w:r>
          </w:p>
        </w:tc>
        <w:tc>
          <w:tcPr/>
          <w:p>
            <w:pPr>
              <w:pStyle w:val="Compact"/>
              <w:jc w:val="left"/>
            </w:pPr>
            <w:r>
              <w:t xml:space="preserve">% Change vs. Q3 2022</w:t>
            </w:r>
          </w:p>
        </w:tc>
      </w:tr>
      <w:tr>
        <w:tc>
          <w:tcPr/>
          <w:p>
            <w:pPr>
              <w:pStyle w:val="Compact"/>
              <w:jc w:val="left"/>
            </w:pPr>
            <w:r>
              <w:t xml:space="preserve">Essential Chronic Medications (Diabetes, Hypertension)</w:t>
            </w:r>
          </w:p>
        </w:tc>
        <w:tc>
          <w:tcPr/>
          <w:p>
            <w:pPr>
              <w:pStyle w:val="Compact"/>
              <w:jc w:val="left"/>
            </w:pPr>
            <w:r>
              <w:t xml:space="preserve">$48,500</w:t>
            </w:r>
          </w:p>
        </w:tc>
        <w:tc>
          <w:tcPr/>
          <w:p>
            <w:pPr>
              <w:pStyle w:val="Compact"/>
              <w:jc w:val="left"/>
            </w:pPr>
            <w:r>
              <w:t xml:space="preserve">+8.1%</w:t>
            </w:r>
          </w:p>
        </w:tc>
        <w:tc>
          <w:tcPr/>
          <w:p>
            <w:pPr>
              <w:pStyle w:val="Compact"/>
              <w:jc w:val="left"/>
            </w:pPr>
            <w:r>
              <w:t xml:space="preserve">+15.3%</w:t>
            </w:r>
          </w:p>
        </w:tc>
      </w:tr>
      <w:tr>
        <w:tc>
          <w:tcPr/>
          <w:p>
            <w:pPr>
              <w:pStyle w:val="Compact"/>
              <w:jc w:val="left"/>
            </w:pPr>
            <w:r>
              <w:t xml:space="preserve">Antibiotics &amp; Infection Control</w:t>
            </w:r>
          </w:p>
        </w:tc>
        <w:tc>
          <w:tcPr/>
          <w:p>
            <w:pPr>
              <w:pStyle w:val="Compact"/>
              <w:jc w:val="left"/>
            </w:pPr>
            <w:r>
              <w:t xml:space="preserve">$28,700</w:t>
            </w:r>
          </w:p>
        </w:tc>
        <w:tc>
          <w:tcPr/>
          <w:p>
            <w:pPr>
              <w:pStyle w:val="Compact"/>
              <w:jc w:val="left"/>
            </w:pPr>
            <w:r>
              <w:t xml:space="preserve">+4.5%</w:t>
            </w:r>
          </w:p>
        </w:tc>
        <w:tc>
          <w:tcPr/>
          <w:p>
            <w:pPr>
              <w:pStyle w:val="Compact"/>
              <w:jc w:val="left"/>
            </w:pPr>
            <w:r>
              <w:t xml:space="preserve">+9.7%</w:t>
            </w:r>
          </w:p>
        </w:tc>
      </w:tr>
      <w:tr>
        <w:tc>
          <w:tcPr/>
          <w:p>
            <w:pPr>
              <w:pStyle w:val="Compact"/>
              <w:jc w:val="left"/>
            </w:pPr>
            <w:r>
              <w:t xml:space="preserve">Over-the-Counter (OTC) &amp; Vitamins</w:t>
            </w:r>
          </w:p>
        </w:tc>
        <w:tc>
          <w:tcPr/>
          <w:p>
            <w:pPr>
              <w:pStyle w:val="Compact"/>
              <w:jc w:val="left"/>
            </w:pPr>
            <w:r>
              <w:t xml:space="preserve">$16,200</w:t>
            </w:r>
          </w:p>
        </w:tc>
        <w:tc>
          <w:tcPr/>
          <w:p>
            <w:pPr>
              <w:pStyle w:val="Compact"/>
              <w:jc w:val="left"/>
            </w:pPr>
            <w:r>
              <w:t xml:space="preserve">+12.8%</w:t>
            </w:r>
          </w:p>
        </w:tc>
        <w:tc>
          <w:tcPr/>
          <w:p>
            <w:pPr>
              <w:pStyle w:val="Compact"/>
              <w:jc w:val="left"/>
            </w:pPr>
            <w:r>
              <w:t xml:space="preserve">+18.4%</w:t>
            </w:r>
          </w:p>
        </w:tc>
      </w:tr>
      <w:tr>
        <w:tc>
          <w:tcPr/>
          <w:p>
            <w:pPr>
              <w:pStyle w:val="Compact"/>
              <w:jc w:val="left"/>
            </w:pPr>
            <w:r>
              <w:t xml:space="preserve">Women's &amp; Pediatric Health</w:t>
            </w:r>
          </w:p>
        </w:tc>
        <w:tc>
          <w:tcPr/>
          <w:p>
            <w:pPr>
              <w:pStyle w:val="Compact"/>
              <w:jc w:val="left"/>
            </w:pPr>
            <w:r>
              <w:t xml:space="preserve">$9,350</w:t>
            </w:r>
          </w:p>
        </w:tc>
        <w:tc>
          <w:tcPr/>
          <w:p>
            <w:pPr>
              <w:pStyle w:val="Compact"/>
              <w:jc w:val="left"/>
            </w:pPr>
            <w:r>
              <w:t xml:space="preserve">+7.2%</w:t>
            </w:r>
          </w:p>
        </w:tc>
        <w:tc>
          <w:tcPr/>
          <w:p>
            <w:pPr>
              <w:pStyle w:val="Compact"/>
              <w:jc w:val="left"/>
            </w:pPr>
            <w:r>
              <w:t xml:space="preserve">+14.6%</w:t>
            </w:r>
          </w:p>
        </w:tc>
      </w:tr>
      <w:tr>
        <w:tc>
          <w:tcPr/>
          <w:p>
            <w:pPr>
              <w:pStyle w:val="Compact"/>
              <w:jc w:val="left"/>
            </w:pPr>
            <w:r>
              <w:rPr>
                <w:bCs/>
                <w:b/>
              </w:rPr>
              <w:t xml:space="preserve">Total Sales (All Pharmacies)</w:t>
            </w:r>
          </w:p>
        </w:tc>
        <w:tc>
          <w:tcPr/>
          <w:p>
            <w:pPr>
              <w:pStyle w:val="Compact"/>
              <w:jc w:val="left"/>
            </w:pPr>
            <w:r>
              <w:rPr>
                <w:bCs/>
                <w:b/>
              </w:rPr>
              <w:t xml:space="preserve">$102,750</w:t>
            </w:r>
          </w:p>
        </w:tc>
        <w:tc>
          <w:tcPr/>
          <w:p>
            <w:pPr>
              <w:pStyle w:val="Compact"/>
              <w:jc w:val="left"/>
            </w:pPr>
            <w:r>
              <w:rPr>
                <w:bCs/>
                <w:b/>
              </w:rPr>
              <w:t xml:space="preserve">+8.3%</w:t>
            </w:r>
          </w:p>
        </w:tc>
        <w:tc>
          <w:tcPr/>
          <w:p>
            <w:pPr>
              <w:pStyle w:val="Compact"/>
              <w:jc w:val="left"/>
            </w:pPr>
            <w:r>
              <w:t xml:space="preserve">+12.1%</w:t>
            </w:r>
          </w:p>
        </w:tc>
      </w:tr>
    </w:tbl>
    <w:p>
      <w:pPr>
        <w:pStyle w:val="BodyText"/>
      </w:pPr>
      <w:r>
        <w:t xml:space="preserve">Pharmacist teams in Baghdad significantly contributed to this growth through targeted patient engagement, particularly in the Al-Rusafa and Karrada districts where chronic disease management demand remains high. The 12.1% YoY increase exceeds national average projections for Iraq's pharmaceutical sector, demonstrating effective local adaptation.</w:t>
      </w:r>
    </w:p>
    <w:bookmarkEnd w:id="21"/>
    <w:bookmarkStart w:id="22" w:name="X1f33862ebb3bed3a11095706dc7f9707c9ff012"/>
    <w:p>
      <w:pPr>
        <w:pStyle w:val="Heading2"/>
      </w:pPr>
      <w:r>
        <w:t xml:space="preserve">III. Pharmacist-Driven Initiatives Fueling Success</w:t>
      </w:r>
    </w:p>
    <w:p>
      <w:pPr>
        <w:pStyle w:val="FirstParagraph"/>
      </w:pPr>
      <w:r>
        <w:t xml:space="preserve">The success in Baghdad is intrinsically tied to the proactive role of the Pharmacist. Unlike traditional sales models, our pharmacists function as clinical advisors, directly influencing product selection and patient adherence:</w:t>
      </w:r>
    </w:p>
    <w:p>
      <w:pPr>
        <w:numPr>
          <w:ilvl w:val="0"/>
          <w:numId w:val="1001"/>
        </w:numPr>
        <w:pStyle w:val="Compact"/>
      </w:pPr>
      <w:r>
        <w:rPr>
          <w:bCs/>
          <w:b/>
        </w:rPr>
        <w:t xml:space="preserve">Chronic Disease Management Programs:</w:t>
      </w:r>
      <w:r>
        <w:t xml:space="preserve"> </w:t>
      </w:r>
      <w:r>
        <w:t xml:space="preserve">Pharmacist-led weekly counseling sessions for diabetic patients in Baghdad’s Al-Mansour district increased refill rates by 22%, directly boosting consistent sales of metformin and insulin.</w:t>
      </w:r>
    </w:p>
    <w:p>
      <w:pPr>
        <w:numPr>
          <w:ilvl w:val="0"/>
          <w:numId w:val="1001"/>
        </w:numPr>
        <w:pStyle w:val="Compact"/>
      </w:pPr>
      <w:r>
        <w:rPr>
          <w:bCs/>
          <w:b/>
        </w:rPr>
        <w:t xml:space="preserve">Counterfeit Drug Prevention:</w:t>
      </w:r>
      <w:r>
        <w:t xml:space="preserve"> </w:t>
      </w:r>
      <w:r>
        <w:t xml:space="preserve">In a critical initiative across Iraq Baghdad, pharmacists conducted patient education on identifying genuine medication packaging. This reduced counterfeit-related returns by 35% and strengthened customer trust, a key factor in sustained sales growth.</w:t>
      </w:r>
    </w:p>
    <w:p>
      <w:pPr>
        <w:numPr>
          <w:ilvl w:val="0"/>
          <w:numId w:val="1001"/>
        </w:numPr>
        <w:pStyle w:val="Compact"/>
      </w:pPr>
      <w:r>
        <w:rPr>
          <w:bCs/>
          <w:b/>
        </w:rPr>
        <w:t xml:space="preserve">Community Health Partnerships:</w:t>
      </w:r>
      <w:r>
        <w:t xml:space="preserve"> </w:t>
      </w:r>
      <w:r>
        <w:t xml:space="preserve">Pharmacist teams partnered with local clinics (e.g., Al-Mustafa General Hospital) to distribute free blood pressure screenings. These events generated 420 new patient leads, resulting in $14,500 in subsequent medication sales within one month.</w:t>
      </w:r>
    </w:p>
    <w:bookmarkEnd w:id="22"/>
    <w:bookmarkStart w:id="23" w:name="iv.-challenges-specific-to-iraq-baghdad"/>
    <w:p>
      <w:pPr>
        <w:pStyle w:val="Heading2"/>
      </w:pPr>
      <w:r>
        <w:t xml:space="preserve">IV. Challenges Specific to Iraq Baghdad</w:t>
      </w:r>
    </w:p>
    <w:p>
      <w:pPr>
        <w:pStyle w:val="FirstParagraph"/>
      </w:pPr>
      <w:r>
        <w:t xml:space="preserve">This Sales Report acknowledges unique operational hurdles faced by the Pharmacist network in Baghdad:</w:t>
      </w:r>
    </w:p>
    <w:p>
      <w:pPr>
        <w:numPr>
          <w:ilvl w:val="0"/>
          <w:numId w:val="1002"/>
        </w:numPr>
        <w:pStyle w:val="Compact"/>
      </w:pPr>
      <w:r>
        <w:rPr>
          <w:bCs/>
          <w:b/>
        </w:rPr>
        <w:t xml:space="preserve">Supply Chain Volatility:</w:t>
      </w:r>
      <w:r>
        <w:t xml:space="preserve"> </w:t>
      </w:r>
      <w:r>
        <w:t xml:space="preserve">67% of pharmacies reported delays in importing critical antibiotics due to currency fluctuations (Iraqi Dinar vs. USD) and port congestion at Al-Faw. Pharmacists mitigated this by maintaining emergency stockpiles of top-selling items.</w:t>
      </w:r>
    </w:p>
    <w:p>
      <w:pPr>
        <w:numPr>
          <w:ilvl w:val="0"/>
          <w:numId w:val="1002"/>
        </w:numPr>
        <w:pStyle w:val="Compact"/>
      </w:pPr>
      <w:r>
        <w:rPr>
          <w:bCs/>
          <w:b/>
        </w:rPr>
        <w:t xml:space="preserve">Infrastructure Limitations:</w:t>
      </w:r>
      <w:r>
        <w:t xml:space="preserve"> </w:t>
      </w:r>
      <w:r>
        <w:t xml:space="preserve">Power outages (averaging 6 hours/day in Baghdad) threatened cold-chain integrity for vaccines and certain biologics. Pharmacist teams implemented backup generator protocols, ensuring product safety and avoiding $18,300 in potential losses.</w:t>
      </w:r>
    </w:p>
    <w:p>
      <w:pPr>
        <w:numPr>
          <w:ilvl w:val="0"/>
          <w:numId w:val="1002"/>
        </w:numPr>
        <w:pStyle w:val="Compact"/>
      </w:pPr>
      <w:r>
        <w:rPr>
          <w:bCs/>
          <w:b/>
        </w:rPr>
        <w:t xml:space="preserve">Economic Pressures:</w:t>
      </w:r>
      <w:r>
        <w:t xml:space="preserve"> </w:t>
      </w:r>
      <w:r>
        <w:t xml:space="preserve">Rising inflation impacted patient purchasing power. Pharmacists adapted by introducing affordable generic alternatives (e.g., 30% price reduction on common hypertension drugs), driving sales volume despite margin pressure.</w:t>
      </w:r>
    </w:p>
    <w:bookmarkEnd w:id="23"/>
    <w:bookmarkStart w:id="24" w:name="Xf82ab952543e46405241bbbd371811508a2727b"/>
    <w:p>
      <w:pPr>
        <w:pStyle w:val="Heading2"/>
      </w:pPr>
      <w:r>
        <w:t xml:space="preserve">V. Strategic Recommendations for Next Quarter</w:t>
      </w:r>
    </w:p>
    <w:p>
      <w:pPr>
        <w:pStyle w:val="FirstParagraph"/>
      </w:pPr>
      <w:r>
        <w:t xml:space="preserve">Based on this Sales Report, the following pharmacist-led actions are recommended for Iraq Baghdad operations:</w:t>
      </w:r>
    </w:p>
    <w:p>
      <w:pPr>
        <w:numPr>
          <w:ilvl w:val="0"/>
          <w:numId w:val="1003"/>
        </w:numPr>
        <w:pStyle w:val="Compact"/>
      </w:pPr>
      <w:r>
        <w:rPr>
          <w:bCs/>
          <w:b/>
        </w:rPr>
        <w:t xml:space="preserve">Expand Mobile Pharmacist Services:</w:t>
      </w:r>
      <w:r>
        <w:t xml:space="preserve"> </w:t>
      </w:r>
      <w:r>
        <w:t xml:space="preserve">Deploy pharmacist teams to underserved neighborhoods (e.g., Sadr City) via motorized kiosks to reach patients during power outages. Projected impact: +15% sales growth in low-access areas.</w:t>
      </w:r>
    </w:p>
    <w:p>
      <w:pPr>
        <w:numPr>
          <w:ilvl w:val="0"/>
          <w:numId w:val="1003"/>
        </w:numPr>
        <w:pStyle w:val="Compact"/>
      </w:pPr>
      <w:r>
        <w:rPr>
          <w:bCs/>
          <w:b/>
        </w:rPr>
        <w:t xml:space="preserve">Negotiate Direct Local Sourcing:</w:t>
      </w:r>
      <w:r>
        <w:t xml:space="preserve"> </w:t>
      </w:r>
      <w:r>
        <w:t xml:space="preserve">Partner with Al-Furat Pharmaceuticals (Baghdad-based manufacturer) for priority supply of 10 key generic drugs, reducing import dependency by 40% and stabilizing inventory.</w:t>
      </w:r>
    </w:p>
    <w:p>
      <w:pPr>
        <w:numPr>
          <w:ilvl w:val="0"/>
          <w:numId w:val="1003"/>
        </w:numPr>
        <w:pStyle w:val="Compact"/>
      </w:pPr>
      <w:r>
        <w:rPr>
          <w:bCs/>
          <w:b/>
        </w:rPr>
        <w:t xml:space="preserve">Enhance Digital Patient Records:</w:t>
      </w:r>
      <w:r>
        <w:t xml:space="preserve"> </w:t>
      </w:r>
      <w:r>
        <w:t xml:space="preserve">Implement a low-bandwidth compatible digital system for Pharmacist use. This will improve prescription tracking and reduce duplicate sales, expected to save $7,200 monthly in wasted stock.</w:t>
      </w:r>
    </w:p>
    <w:bookmarkEnd w:id="24"/>
    <w:bookmarkStart w:id="25" w:name="Xc5523744beed5d85eba286ea1a1ca5c741f421c"/>
    <w:p>
      <w:pPr>
        <w:pStyle w:val="Heading2"/>
      </w:pPr>
      <w:r>
        <w:t xml:space="preserve">VI. Conclusion: The Pharmacist as Cornerstone of Baghdad's Healthcare Economy</w:t>
      </w:r>
    </w:p>
    <w:p>
      <w:pPr>
        <w:pStyle w:val="FirstParagraph"/>
      </w:pPr>
      <w:r>
        <w:t xml:space="preserve">This Sales Report unequivocally demonstrates that the Pharmacist is not merely a salesperson but the central operational and clinical hub for community health in Iraq Baghdad. During a period of significant economic strain, pharmacist-driven strategies—focusing on patient education, supply chain resilience, and community partnership—have directly fueled revenue growth while advancing public health goals. The 12.1% YoY sales increase is not merely a financial metric; it represents thousands of patients receiving uninterrupted care in a challenging environment.</w:t>
      </w:r>
    </w:p>
    <w:p>
      <w:pPr>
        <w:pStyle w:val="BodyText"/>
      </w:pPr>
      <w:r>
        <w:t xml:space="preserve">As Iraq Baghdad continues to rebuild its healthcare infrastructure, the strategic value of the Pharmacist must be elevated within national health policy. This Sales Report provides clear evidence: Investing in pharmacist training, technology access, and supply chain autonomy for pharmacies across Baghdad is not just good business—it is essential for public health resilience. We recommend that all pharmacy operations in Iraq Baghdad prioritize pharmacist leadership as the core strategy for sustainable growth and community well-being.</w:t>
      </w:r>
    </w:p>
    <w:p>
      <w:pPr>
        <w:pStyle w:val="BodyText"/>
      </w:pPr>
      <w:r>
        <w:rPr>
          <w:bCs/>
          <w:b/>
        </w:rPr>
        <w:t xml:space="preserve">Prepared by:</w:t>
      </w:r>
      <w:r>
        <w:t xml:space="preserve"> </w:t>
      </w:r>
      <w:r>
        <w:t xml:space="preserve">Regional Sales &amp; Clinical Operations, Iraq Pharmacy Network</w:t>
      </w:r>
      <w:r>
        <w:br/>
      </w:r>
      <w:r>
        <w:rPr>
          <w:bCs/>
          <w:b/>
        </w:rPr>
        <w:t xml:space="preserve">Contact:</w:t>
      </w:r>
      <w:r>
        <w:t xml:space="preserve"> </w:t>
      </w:r>
      <w:r>
        <w:t xml:space="preserve">sales@pharmacybaghdad.org | +964 770 123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Baghdad, Iraq</dc:title>
  <dc:creator/>
  <dc:language>en</dc:language>
  <cp:keywords/>
  <dcterms:created xsi:type="dcterms:W3CDTF">2026-07-23T04:29:36Z</dcterms:created>
  <dcterms:modified xsi:type="dcterms:W3CDTF">2026-07-23T04:29:36Z</dcterms:modified>
</cp:coreProperties>
</file>

<file path=docProps/custom.xml><?xml version="1.0" encoding="utf-8"?>
<Properties xmlns="http://schemas.openxmlformats.org/officeDocument/2006/custom-properties" xmlns:vt="http://schemas.openxmlformats.org/officeDocument/2006/docPropsVTypes"/>
</file>