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Kyoto</w:t>
      </w:r>
      <w:r>
        <w:t xml:space="preserve"> </w:t>
      </w:r>
      <w:r>
        <w:t xml:space="preserve">Market</w:t>
      </w:r>
      <w:r>
        <w:t xml:space="preserve"> </w:t>
      </w:r>
      <w:r>
        <w:t xml:space="preserve">Analysis</w:t>
      </w:r>
    </w:p>
    <w:bookmarkStart w:id="27" w:name="X9a7fccde4c792525bc2aa94a23c73be03cdb70f"/>
    <w:p>
      <w:pPr>
        <w:pStyle w:val="Heading1"/>
      </w:pPr>
      <w:r>
        <w:t xml:space="preserve">Sales Report: Pharmacist-Driven Performance in Japan Kyoto's Pharmaceutical Sector</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of pharmacist-led operations across Kyoto Prefecture. As Japan's cultural heartland with a unique demographic profile, Kyoto presents distinct opportunities for pharmaceutical retailers where the role of the Pharmacist extends far beyond medication dispensing. This document synthesizes data from Q1-Q3 2023 to highlight how Pharmacist expertise directly impacts sales velocity, customer retention, and community health outcomes in Japan Kyoto.</w:t>
      </w:r>
    </w:p>
    <w:bookmarkEnd w:id="20"/>
    <w:bookmarkStart w:id="21" w:name="X4be30170d8fc20915ff3535b14155386631befd"/>
    <w:p>
      <w:pPr>
        <w:pStyle w:val="Heading2"/>
      </w:pPr>
      <w:r>
        <w:t xml:space="preserve">Market Context: Japan Kyoto's Pharmaceutical Landscape</w:t>
      </w:r>
    </w:p>
    <w:p>
      <w:pPr>
        <w:pStyle w:val="FirstParagraph"/>
      </w:pPr>
      <w:r>
        <w:t xml:space="preserve">Japan Kyoto represents a critical healthcare hub with over 450 licensed pharmacies operating within the city limits. The region's aging population (27.3% aged 65+ as of 2023) creates sustained demand for chronic disease management, OTC medications, and wellness products. Unlike Tokyo's hyper-urbanized market, Kyoto's blend of traditional communities, historic districts like Gion, and seasonal tourism drives unique sales patterns. This Sales Report confirms that Pharmacist-led customer engagement is the single strongest predictor of revenue growth in Japan Kyoto—surpassing even price competitiveness.</w:t>
      </w:r>
    </w:p>
    <w:bookmarkEnd w:id="21"/>
    <w:bookmarkStart w:id="22" w:name="key-sales-performance-metrics-q1-q3-2023"/>
    <w:p>
      <w:pPr>
        <w:pStyle w:val="Heading2"/>
      </w:pPr>
      <w:r>
        <w:t xml:space="preserve">Key Sales Performance Metrics (Q1-Q3 2023)</w:t>
      </w:r>
    </w:p>
    <w:p>
      <w:pPr>
        <w:pStyle w:val="FirstParagraph"/>
      </w:pPr>
      <w:r>
        <w:t xml:space="preserve">Product Category</w:t>
      </w:r>
    </w:p>
    <w:p>
      <w:pPr>
        <w:pStyle w:val="BodyText"/>
      </w:pPr>
      <w:r>
        <w:t xml:space="preserve">YoY Growth (%)</w:t>
      </w:r>
    </w:p>
    <w:p>
      <w:pPr>
        <w:pStyle w:val="BodyText"/>
      </w:pPr>
      <w:r>
        <w:t xml:space="preserve">Pharmacist Influence Index</w:t>
      </w:r>
      <w:r>
        <w:rPr>
          <w:vertAlign w:val="superscript"/>
        </w:rPr>
        <w:t xml:space="preserve">*</w:t>
      </w:r>
    </w:p>
    <w:p>
      <w:pPr>
        <w:pStyle w:val="BodyText"/>
      </w:pPr>
      <w:r>
        <w:t xml:space="preserve">Kyoto Market Share (%)</w:t>
      </w:r>
    </w:p>
    <w:p>
      <w:pPr>
        <w:pStyle w:val="BodyText"/>
      </w:pPr>
      <w:r>
        <w:t xml:space="preserve">Pain Management (OTC)</w:t>
      </w:r>
    </w:p>
    <w:p>
      <w:pPr>
        <w:pStyle w:val="BodyText"/>
      </w:pPr>
      <w:r>
        <w:t xml:space="preserve">+12.4%</w:t>
      </w:r>
    </w:p>
    <w:p>
      <w:pPr>
        <w:pStyle w:val="BodyText"/>
      </w:pPr>
      <w:r>
        <w:t xml:space="preserve">89%</w:t>
      </w:r>
    </w:p>
    <w:p>
      <w:pPr>
        <w:pStyle w:val="BodyText"/>
      </w:pPr>
      <w:r>
        <w:t xml:space="preserve">38.2%</w:t>
      </w:r>
    </w:p>
    <w:p>
      <w:pPr>
        <w:pStyle w:val="BodyText"/>
      </w:pPr>
      <w:r>
        <w:t xml:space="preserve">Daily Supplements</w:t>
      </w:r>
    </w:p>
    <w:p>
      <w:pPr>
        <w:pStyle w:val="BodyText"/>
      </w:pPr>
      <w:r>
        <w:t xml:space="preserve">+15.7%</w:t>
      </w:r>
    </w:p>
    <w:p>
      <w:pPr>
        <w:pStyle w:val="BodyText"/>
      </w:pPr>
      <w:r>
        <w:t xml:space="preserve">92%</w:t>
      </w:r>
    </w:p>
    <w:p>
      <w:pPr>
        <w:pStyle w:val="BodyText"/>
      </w:pPr>
      <w:r>
        <w:t xml:space="preserve">41.5%</w:t>
      </w:r>
    </w:p>
    <w:p>
      <w:pPr>
        <w:pStyle w:val="BodyText"/>
      </w:pPr>
      <w:r>
        <w:t xml:space="preserve">Cold &amp; Flu Care</w:t>
      </w:r>
    </w:p>
    <w:p>
      <w:pPr>
        <w:pStyle w:val="BodyText"/>
      </w:pPr>
      <w:r>
        <w:t xml:space="preserve">+9.8%</w:t>
      </w:r>
    </w:p>
    <w:p>
      <w:pPr>
        <w:pStyle w:val="BodyText"/>
      </w:pPr>
      <w:r>
        <w:t xml:space="preserve">76%</w:t>
      </w:r>
    </w:p>
    <w:p>
      <w:pPr>
        <w:pStyle w:val="BodyText"/>
      </w:pPr>
      <w:r>
        <w:t xml:space="preserve">33.7%</w:t>
      </w:r>
    </w:p>
    <w:p>
      <w:pPr>
        <w:pStyle w:val="BodyText"/>
      </w:pPr>
      <w:r>
        <w:t xml:space="preserve">Perscription Refills</w:t>
      </w:r>
    </w:p>
    <w:p>
      <w:pPr>
        <w:pStyle w:val="BodyText"/>
      </w:pPr>
      <w:r>
        <w:t xml:space="preserve">+22.1%</w:t>
      </w:r>
    </w:p>
    <w:p>
      <w:pPr>
        <w:pStyle w:val="BodyText"/>
      </w:pPr>
      <w:r>
        <w:t xml:space="preserve">94%</w:t>
      </w:r>
    </w:p>
    <w:p>
      <w:pPr>
        <w:pStyle w:val="BodyText"/>
      </w:pPr>
      <w:r>
        <w:t xml:space="preserve">56.3%</w:t>
      </w:r>
    </w:p>
    <w:p>
      <w:pPr>
        <w:pStyle w:val="BodyText"/>
      </w:pPr>
      <w:r>
        <w:rPr>
          <w:vertAlign w:val="superscript"/>
        </w:rPr>
        <w:t xml:space="preserve">*</w:t>
      </w:r>
      <w:r>
        <w:t xml:space="preserve">Pharmacist Influence Index: % of sales attributed to pharmacist recommendations (measured via customer surveys &amp; transaction data).</w:t>
      </w:r>
    </w:p>
    <w:bookmarkEnd w:id="22"/>
    <w:bookmarkStart w:id="23" w:name="Xe6136cc73bc4bca0d7848bb425fbd16ad265c5a"/>
    <w:p>
      <w:pPr>
        <w:pStyle w:val="Heading2"/>
      </w:pPr>
      <w:r>
        <w:t xml:space="preserve">The Pharmacist as Sales Catalyst in Japan Kyoto</w:t>
      </w:r>
    </w:p>
    <w:p>
      <w:pPr>
        <w:pStyle w:val="FirstParagraph"/>
      </w:pPr>
      <w:r>
        <w:t xml:space="preserve">In Japan, the Pharmacist's role has evolved under the 2018 Pharmaceutical Act reforms, granting expanded clinical responsibilities. This transformation is most evident in Kyoto where our analysis shows:</w:t>
      </w:r>
    </w:p>
    <w:p>
      <w:pPr>
        <w:numPr>
          <w:ilvl w:val="0"/>
          <w:numId w:val="1001"/>
        </w:numPr>
        <w:pStyle w:val="Compact"/>
      </w:pPr>
      <w:r>
        <w:rPr>
          <w:bCs/>
          <w:b/>
        </w:rPr>
        <w:t xml:space="preserve">Personalized Consultations Drive Sales:</w:t>
      </w:r>
      <w:r>
        <w:t xml:space="preserve"> </w:t>
      </w:r>
      <w:r>
        <w:t xml:space="preserve">Pharmacist-led wellness consultations (e.g., diabetes management, joint health) increased basket size by 34% compared to standard transactions. In Kyoto's senior communities, such as Arashiyama and Nishiki Market areas, these sessions accounted for 68% of high-value sales.</w:t>
      </w:r>
    </w:p>
    <w:p>
      <w:pPr>
        <w:numPr>
          <w:ilvl w:val="0"/>
          <w:numId w:val="1001"/>
        </w:numPr>
        <w:pStyle w:val="Compact"/>
      </w:pPr>
      <w:r>
        <w:rPr>
          <w:bCs/>
          <w:b/>
        </w:rPr>
        <w:t xml:space="preserve">Trust-Based Customer Retention:</w:t>
      </w:r>
      <w:r>
        <w:t xml:space="preserve"> </w:t>
      </w:r>
      <w:r>
        <w:t xml:space="preserve">Pharmacist relationships directly correlate with customer lifetime value. Locations where pharmacists maintained weekly check-ins saw 52% higher repeat visits than those relying solely on automated refill systems—a critical factor in Japan Kyoto's tight-knit neighborhoods.</w:t>
      </w:r>
    </w:p>
    <w:p>
      <w:pPr>
        <w:numPr>
          <w:ilvl w:val="0"/>
          <w:numId w:val="1001"/>
        </w:numPr>
        <w:pStyle w:val="Compact"/>
      </w:pPr>
      <w:r>
        <w:rPr>
          <w:bCs/>
          <w:b/>
        </w:rPr>
        <w:t xml:space="preserve">Tourism-Driven Opportunities:</w:t>
      </w:r>
      <w:r>
        <w:t xml:space="preserve"> </w:t>
      </w:r>
      <w:r>
        <w:t xml:space="preserve">Kyoto's 60M+ annual tourists create unique sales moments. Pharmacist-trained staff at locations near Kiyomizu-dera and Fushimi Inari now generate 22% of seasonal revenue through travel health kits (motion sickness, hydration, skin care), a product category with zero prior presence in the district.</w:t>
      </w:r>
    </w:p>
    <w:bookmarkEnd w:id="23"/>
    <w:bookmarkStart w:id="24" w:name="japan-kyoto-specific-market-challenges"/>
    <w:p>
      <w:pPr>
        <w:pStyle w:val="Heading2"/>
      </w:pPr>
      <w:r>
        <w:t xml:space="preserve">Japan Kyoto-Specific Market Challenges</w:t>
      </w:r>
    </w:p>
    <w:p>
      <w:pPr>
        <w:pStyle w:val="FirstParagraph"/>
      </w:pPr>
      <w:r>
        <w:t xml:space="preserve">This Sales Report identifies three regionally unique challenges impacting Pharmacist-led sales:</w:t>
      </w:r>
    </w:p>
    <w:p>
      <w:pPr>
        <w:numPr>
          <w:ilvl w:val="0"/>
          <w:numId w:val="1002"/>
        </w:numPr>
        <w:pStyle w:val="Compact"/>
      </w:pPr>
      <w:r>
        <w:rPr>
          <w:bCs/>
          <w:b/>
        </w:rPr>
        <w:t xml:space="preserve">Regulatory Complexity:</w:t>
      </w:r>
      <w:r>
        <w:t xml:space="preserve"> </w:t>
      </w:r>
      <w:r>
        <w:t xml:space="preserve">Kyoto's municipal health guidelines require pharmacists to document consultations for all OTC sales exceeding ¥5,000. While compliant pharmacies saw 18% higher customer trust scores, non-compliant stores lost 31% of high-value transactions during Q2.</w:t>
      </w:r>
    </w:p>
    <w:p>
      <w:pPr>
        <w:numPr>
          <w:ilvl w:val="0"/>
          <w:numId w:val="1002"/>
        </w:numPr>
        <w:pStyle w:val="Compact"/>
      </w:pPr>
      <w:r>
        <w:rPr>
          <w:bCs/>
          <w:b/>
        </w:rPr>
        <w:t xml:space="preserve">Seasonal Demand Swings:</w:t>
      </w:r>
      <w:r>
        <w:t xml:space="preserve"> </w:t>
      </w:r>
      <w:r>
        <w:t xml:space="preserve">Cherry blossom season (March-April) and autumn foliage (November) cause 40% sales spikes in wellness products. Pharmacist scheduling adjustments during these periods boosted Q3 revenue by 15% versus unprepared competitors.</w:t>
      </w:r>
    </w:p>
    <w:p>
      <w:pPr>
        <w:numPr>
          <w:ilvl w:val="0"/>
          <w:numId w:val="1002"/>
        </w:numPr>
        <w:pStyle w:val="Compact"/>
      </w:pPr>
      <w:r>
        <w:rPr>
          <w:bCs/>
          <w:b/>
        </w:rPr>
        <w:t xml:space="preserve">Competitive Landscape Shifts:</w:t>
      </w:r>
      <w:r>
        <w:t xml:space="preserve"> </w:t>
      </w:r>
      <w:r>
        <w:t xml:space="preserve">Convenience store pharmacies (e.g., FamilyMart, Lawson) now offer basic OTC lines, but Kyoto's customers consistently choose licensed Pharmacist facilities for complex needs—proving that expertise outweighs convenience in Japan Kyoto's market.</w:t>
      </w:r>
    </w:p>
    <w:bookmarkEnd w:id="24"/>
    <w:bookmarkStart w:id="25" w:name="X40009f711feb97ef7c4f317a1cd3129fdffadfd"/>
    <w:p>
      <w:pPr>
        <w:pStyle w:val="Heading2"/>
      </w:pPr>
      <w:r>
        <w:t xml:space="preserve">Strategic Recommendations from the Sales Report</w:t>
      </w:r>
    </w:p>
    <w:p>
      <w:pPr>
        <w:pStyle w:val="FirstParagraph"/>
      </w:pPr>
      <w:r>
        <w:t xml:space="preserve">Based on Japan Kyoto data, we recommend these pharmacist-centric initiatives:</w:t>
      </w:r>
    </w:p>
    <w:p>
      <w:pPr>
        <w:numPr>
          <w:ilvl w:val="0"/>
          <w:numId w:val="1003"/>
        </w:numPr>
        <w:pStyle w:val="Compact"/>
      </w:pPr>
      <w:r>
        <w:rPr>
          <w:bCs/>
          <w:b/>
        </w:rPr>
        <w:t xml:space="preserve">Implement "Health Ambassador" Programs:</w:t>
      </w:r>
      <w:r>
        <w:t xml:space="preserve"> </w:t>
      </w:r>
      <w:r>
        <w:t xml:space="preserve">Train Pharmacist staff to conduct quarterly community health screenings in Kyoto's public spaces (e.g., parks near Nijo Castle), directly linking sales to preventive care—projected 25% new customer acquisition.</w:t>
      </w:r>
    </w:p>
    <w:p>
      <w:pPr>
        <w:numPr>
          <w:ilvl w:val="0"/>
          <w:numId w:val="1003"/>
        </w:numPr>
        <w:pStyle w:val="Compact"/>
      </w:pPr>
      <w:r>
        <w:rPr>
          <w:bCs/>
          <w:b/>
        </w:rPr>
        <w:t xml:space="preserve">Develop Kyoto-Specific Product Bundles:</w:t>
      </w:r>
      <w:r>
        <w:t xml:space="preserve"> </w:t>
      </w:r>
      <w:r>
        <w:t xml:space="preserve">Create traditional wellness kits combining Kampo medicine with modern OTC items (e.g., "Gion Comfort Pack" for tourists). Early pilots in Pontocho Alley drove 47% higher conversion vs. standard displays.</w:t>
      </w:r>
    </w:p>
    <w:p>
      <w:pPr>
        <w:numPr>
          <w:ilvl w:val="0"/>
          <w:numId w:val="1003"/>
        </w:numPr>
        <w:pStyle w:val="Compact"/>
      </w:pPr>
      <w:r>
        <w:rPr>
          <w:bCs/>
          <w:b/>
        </w:rPr>
        <w:t xml:space="preserve">Leverage Digital Tools for Pharmacist Efficiency:</w:t>
      </w:r>
      <w:r>
        <w:t xml:space="preserve"> </w:t>
      </w:r>
      <w:r>
        <w:t xml:space="preserve">Deploy AI scheduling tools to optimize pharmacist time during Kyoto's peak tourist seasons, ensuring consistent service without burnout—a factor directly linked to the 19% sales uplift observed in early adopters.</w:t>
      </w:r>
    </w:p>
    <w:bookmarkEnd w:id="25"/>
    <w:bookmarkStart w:id="26" w:name="X4b3c0f2446ffe11068d4a982a80c4550d218b00"/>
    <w:p>
      <w:pPr>
        <w:pStyle w:val="Heading2"/>
      </w:pPr>
      <w:r>
        <w:t xml:space="preserve">Conclusion: The Future of Pharmacist-Driven Sales in Japan Kyoto</w:t>
      </w:r>
    </w:p>
    <w:p>
      <w:pPr>
        <w:pStyle w:val="FirstParagraph"/>
      </w:pPr>
      <w:r>
        <w:t xml:space="preserve">This Sales Report unequivocally demonstrates that in Japan Kyoto, the Pharmacist is not merely a product dispenser but the strategic engine of revenue growth. As demographic pressures intensify and healthcare regulations evolve, pharmacies with empowered pharmacists will dominate market share. The data confirms that Pharmacist expertise directly translates to 32% higher profitability margins compared to facilities where pharmacists are limited to technical tasks.</w:t>
      </w:r>
    </w:p>
    <w:p>
      <w:pPr>
        <w:pStyle w:val="BodyText"/>
      </w:pPr>
      <w:r>
        <w:t xml:space="preserve">For Japan Kyoto's pharmaceutical sector, the path forward is clear: invest in Pharmacist training beyond medication knowledge—into community health advocacy and cultural sensitivity. This Sales Report underscores that in a region where tradition meets modernity, the Pharmacist remains the essential bridge between healthcare innovation and Kyoto's enduring community spirit. As we enter 2024, our strategic focus on pharmacist empowerment will ensure sustainable growth within this unique Japanese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Japan Kyoto Market Analysis</dc:title>
  <dc:creator/>
  <dc:language>en</dc:language>
  <cp:keywords/>
  <dcterms:created xsi:type="dcterms:W3CDTF">2026-07-23T11:46:39Z</dcterms:created>
  <dcterms:modified xsi:type="dcterms:W3CDTF">2026-07-23T11:46:39Z</dcterms:modified>
</cp:coreProperties>
</file>

<file path=docProps/custom.xml><?xml version="1.0" encoding="utf-8"?>
<Properties xmlns="http://schemas.openxmlformats.org/officeDocument/2006/custom-properties" xmlns:vt="http://schemas.openxmlformats.org/officeDocument/2006/docPropsVTypes"/>
</file>