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Analysis</w:t>
      </w:r>
      <w:r>
        <w:t xml:space="preserve"> </w:t>
      </w:r>
      <w:r>
        <w:t xml:space="preserve">in</w:t>
      </w:r>
      <w:r>
        <w:t xml:space="preserve"> </w:t>
      </w:r>
      <w:r>
        <w:t xml:space="preserve">Japan</w:t>
      </w:r>
      <w:r>
        <w:t xml:space="preserve"> </w:t>
      </w:r>
      <w:r>
        <w:t xml:space="preserve">Osaka</w:t>
      </w:r>
    </w:p>
    <w:bookmarkStart w:id="26" w:name="Xdd00ce5080670e8cf30de3f8224c1552e330cee"/>
    <w:p>
      <w:pPr>
        <w:pStyle w:val="Heading1"/>
      </w:pPr>
      <w:r>
        <w:t xml:space="preserve">SALES REPORT: PHARMACIST PERFORMANCE ANALYSIS IN JAPAN OSAKA</w:t>
      </w:r>
    </w:p>
    <w:p>
      <w:pPr>
        <w:pStyle w:val="FirstParagraph"/>
      </w:pPr>
      <w:r>
        <w:t xml:space="preserve">Prepared for Osaka Regional Pharmacy Management | Q3 2023</w:t>
      </w:r>
    </w:p>
    <w:bookmarkStart w:id="20" w:name="executive-summary"/>
    <w:p>
      <w:pPr>
        <w:pStyle w:val="Heading2"/>
      </w:pPr>
      <w:r>
        <w:t xml:space="preserve">1. Executive Summary</w:t>
      </w:r>
    </w:p>
    <w:p>
      <w:pPr>
        <w:pStyle w:val="FirstParagraph"/>
      </w:pPr>
      <w:r>
        <w:t xml:space="preserve">This comprehensive Sales Report evaluates the performance of our licensed Pharmacist team across Osaka prefecture during July-September 2023. As Japan's pharmaceutical retail sector continues to evolve under stringent regulatory frameworks, this analysis underscores how our Pharmacist-led approach in Japan Osaka has driven both clinical service excellence and strategic commercial growth. The data reveals a 12.7% year-over-year increase in prescription fulfillment accuracy and a 19% rise in over-the-counter (OTC) product adoption, directly attributable to our Pharmacist's patient education initiatives. This document serves as both a performance benchmark and strategic roadmap for optimizing pharmacy operations within Japan Osaka's unique healthcare ecosystem.</w:t>
      </w:r>
    </w:p>
    <w:bookmarkEnd w:id="20"/>
    <w:bookmarkStart w:id="21" w:name="sales-performance-overview"/>
    <w:p>
      <w:pPr>
        <w:pStyle w:val="Heading2"/>
      </w:pPr>
      <w:r>
        <w:t xml:space="preserve">2. Sales Performance Overview</w:t>
      </w:r>
    </w:p>
    <w:p>
      <w:pPr>
        <w:pStyle w:val="FirstParagraph"/>
      </w:pPr>
      <w:r>
        <w:t xml:space="preserve">Operating across 17 pharmacies in Osaka's densely populated urban centers (including Namba, Umeda, and Dotonbori), our Pharmacist team achieved remarkable results during Q3. Total sales reached ¥84.6 million, surpassing the quarterly target by 14.2% – a testament to the Pharmacist's dual role as clinical advisor and sales professional in Japan Osaka's market. Notably, prescription refills accounted for 58% of revenue (vs. industry average of 52%), reflecting strong patient retention driven by our Pharmacist's personalized medication adherence programs.</w:t>
      </w:r>
    </w:p>
    <w:p>
      <w:pPr>
        <w:pStyle w:val="BodyText"/>
      </w:pPr>
      <w:r>
        <w:t xml:space="preserve">Key metrics demonstrate the Pharmacist's value proposition:</w:t>
      </w:r>
    </w:p>
    <w:p>
      <w:pPr>
        <w:numPr>
          <w:ilvl w:val="0"/>
          <w:numId w:val="1001"/>
        </w:numPr>
        <w:pStyle w:val="Compact"/>
      </w:pPr>
      <w:r>
        <w:rPr>
          <w:bCs/>
          <w:b/>
        </w:rPr>
        <w:t xml:space="preserve">Service Accuracy:</w:t>
      </w:r>
      <w:r>
        <w:t xml:space="preserve"> </w:t>
      </w:r>
      <w:r>
        <w:t xml:space="preserve">99.8% prescription verification rate (vs. national avg. 97.3%)</w:t>
      </w:r>
    </w:p>
    <w:p>
      <w:pPr>
        <w:numPr>
          <w:ilvl w:val="0"/>
          <w:numId w:val="1001"/>
        </w:numPr>
        <w:pStyle w:val="Compact"/>
      </w:pPr>
      <w:r>
        <w:rPr>
          <w:bCs/>
          <w:b/>
        </w:rPr>
        <w:t xml:space="preserve">Patient Consultations:</w:t>
      </w:r>
      <w:r>
        <w:t xml:space="preserve"> </w:t>
      </w:r>
      <w:r>
        <w:t xml:space="preserve">Average of 126 daily counseling sessions per Pharmacist</w:t>
      </w:r>
    </w:p>
    <w:p>
      <w:pPr>
        <w:numPr>
          <w:ilvl w:val="0"/>
          <w:numId w:val="1001"/>
        </w:numPr>
        <w:pStyle w:val="Compact"/>
      </w:pPr>
      <w:r>
        <w:rPr>
          <w:bCs/>
          <w:b/>
        </w:rPr>
        <w:t xml:space="preserve">Cross-Sell Conversion:</w:t>
      </w:r>
      <w:r>
        <w:t xml:space="preserve"> </w:t>
      </w:r>
      <w:r>
        <w:t xml:space="preserve">OTC products recommended during consultations increased by 28% YoY</w:t>
      </w:r>
    </w:p>
    <w:p>
      <w:pPr>
        <w:pStyle w:val="FirstParagraph"/>
      </w:pPr>
      <w:r>
        <w:t xml:space="preserve">In Japan Osaka's competitive pharmacy landscape, our Pharmacist-centric model has become a key differentiator. Unlike chain stores relying on automated dispensing systems, our Pharmacist actively engages patients in medication reviews – a practice deeply valued by Osaka's aging population (23% over 65 years) who prioritize clinical consultation over transactional service.</w:t>
      </w:r>
    </w:p>
    <w:bookmarkEnd w:id="21"/>
    <w:bookmarkStart w:id="22" w:name="product-performance-by-category"/>
    <w:p>
      <w:pPr>
        <w:pStyle w:val="Heading2"/>
      </w:pPr>
      <w:r>
        <w:t xml:space="preserve">3. Product Performance by Category</w:t>
      </w:r>
    </w:p>
    <w:p>
      <w:pPr>
        <w:pStyle w:val="FirstParagraph"/>
      </w:pPr>
      <w:r>
        <w:t xml:space="preserve">Analysis reveals distinct patterns in Pharmacist-driven sales success across product categories within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w:t>
            </w:r>
          </w:p>
        </w:tc>
        <w:tc>
          <w:tcPr/>
          <w:p>
            <w:pPr>
              <w:pStyle w:val="Compact"/>
              <w:jc w:val="left"/>
            </w:pPr>
            <w:r>
              <w:t xml:space="preserve">% YoY Change</w:t>
            </w:r>
          </w:p>
        </w:tc>
        <w:tc>
          <w:tcPr/>
          <w:p>
            <w:pPr>
              <w:pStyle w:val="Compact"/>
              <w:jc w:val="left"/>
            </w:pPr>
            <w:r>
              <w:t xml:space="preserve">Pharmacist Impact Factor</w:t>
            </w:r>
          </w:p>
        </w:tc>
      </w:tr>
      <w:tr>
        <w:tc>
          <w:tcPr/>
          <w:p>
            <w:pPr>
              <w:pStyle w:val="Compact"/>
              <w:jc w:val="left"/>
            </w:pPr>
            <w:r>
              <w:t xml:space="preserve">Chronic Condition Medications (Diabetes/Hypertension)</w:t>
            </w:r>
          </w:p>
        </w:tc>
        <w:tc>
          <w:tcPr/>
          <w:p>
            <w:pPr>
              <w:pStyle w:val="Compact"/>
              <w:jc w:val="left"/>
            </w:pPr>
            <w:r>
              <w:t xml:space="preserve">¥32.1M</w:t>
            </w:r>
          </w:p>
        </w:tc>
        <w:tc>
          <w:tcPr/>
          <w:p>
            <w:pPr>
              <w:pStyle w:val="Compact"/>
              <w:jc w:val="left"/>
            </w:pPr>
            <w:r>
              <w:t xml:space="preserve">+17.4%</w:t>
            </w:r>
          </w:p>
        </w:tc>
        <w:tc>
          <w:tcPr/>
          <w:p>
            <w:pPr>
              <w:pStyle w:val="Compact"/>
              <w:jc w:val="left"/>
            </w:pPr>
            <w:r>
              <w:t xml:space="preserve">High (85% of sales via Pharmacist referral)</w:t>
            </w:r>
          </w:p>
        </w:tc>
      </w:tr>
      <w:tr>
        <w:tc>
          <w:tcPr/>
          <w:p>
            <w:pPr>
              <w:pStyle w:val="Compact"/>
              <w:jc w:val="left"/>
            </w:pPr>
            <w:r>
              <w:t xml:space="preserve">Pain Management &amp; OTC Analgesics</w:t>
            </w:r>
          </w:p>
        </w:tc>
        <w:tc>
          <w:tcPr/>
          <w:p>
            <w:pPr>
              <w:pStyle w:val="Compact"/>
              <w:jc w:val="left"/>
            </w:pPr>
            <w:r>
              <w:t xml:space="preserve">¥18.7M</w:t>
            </w:r>
          </w:p>
        </w:tc>
        <w:tc>
          <w:tcPr/>
          <w:p>
            <w:pPr>
              <w:pStyle w:val="Compact"/>
              <w:jc w:val="left"/>
            </w:pPr>
            <w:r>
              <w:t xml:space="preserve">+22.1%</w:t>
            </w:r>
          </w:p>
        </w:tc>
        <w:tc>
          <w:tcPr/>
          <w:p>
            <w:pPr>
              <w:pStyle w:val="Compact"/>
              <w:jc w:val="left"/>
            </w:pPr>
            <w:r>
              <w:t xml:space="preserve">Very High (Pharmacist education drove 34% premium product uptake)</w:t>
            </w:r>
          </w:p>
        </w:tc>
      </w:tr>
      <w:tr>
        <w:tc>
          <w:tcPr/>
          <w:p>
            <w:pPr>
              <w:pStyle w:val="Compact"/>
              <w:jc w:val="left"/>
            </w:pPr>
            <w:r>
              <w:t xml:space="preserve">Nutritional Supplements</w:t>
            </w:r>
          </w:p>
        </w:tc>
        <w:tc>
          <w:tcPr/>
          <w:p>
            <w:pPr>
              <w:pStyle w:val="Compact"/>
              <w:jc w:val="left"/>
            </w:pPr>
            <w:r>
              <w:t xml:space="preserve">¥15.2M</w:t>
            </w:r>
          </w:p>
        </w:tc>
        <w:tc>
          <w:tcPr/>
          <w:p>
            <w:pPr>
              <w:pStyle w:val="Compact"/>
              <w:jc w:val="left"/>
            </w:pPr>
            <w:r>
              <w:t xml:space="preserve">+14.8%</w:t>
            </w:r>
          </w:p>
        </w:tc>
        <w:tc>
          <w:tcPr/>
          <w:p>
            <w:pPr>
              <w:pStyle w:val="Compact"/>
              <w:jc w:val="left"/>
            </w:pPr>
            <w:r>
              <w:t xml:space="preserve">Medium (Pharmacist consultation increased trials by 31%)</w:t>
            </w:r>
          </w:p>
        </w:tc>
      </w:tr>
      <w:tr>
        <w:tc>
          <w:tcPr/>
          <w:p>
            <w:pPr>
              <w:pStyle w:val="Compact"/>
              <w:jc w:val="left"/>
            </w:pPr>
            <w:r>
              <w:t xml:space="preserve">Vitamins &amp; Cold Remedies</w:t>
            </w:r>
          </w:p>
        </w:tc>
        <w:tc>
          <w:tcPr/>
          <w:p>
            <w:pPr>
              <w:pStyle w:val="Compact"/>
              <w:jc w:val="left"/>
            </w:pPr>
            <w:r>
              <w:t xml:space="preserve">¥10.6M</w:t>
            </w:r>
          </w:p>
        </w:tc>
        <w:tc>
          <w:tcPr/>
          <w:p>
            <w:pPr>
              <w:pStyle w:val="Compact"/>
              <w:jc w:val="left"/>
            </w:pPr>
            <w:r>
              <w:t xml:space="preserve">+8.2%</w:t>
            </w:r>
          </w:p>
        </w:tc>
        <w:tc>
          <w:tcPr/>
          <w:p>
            <w:pPr>
              <w:pStyle w:val="Compact"/>
              <w:jc w:val="left"/>
            </w:pPr>
            <w:r>
              <w:t xml:space="preserve">Low (Highly competitive market; Pharmacist focus limited to symptom education)</w:t>
            </w:r>
          </w:p>
        </w:tc>
      </w:tr>
    </w:tbl>
    <w:p>
      <w:pPr>
        <w:pStyle w:val="BodyText"/>
      </w:pPr>
      <w:r>
        <w:t xml:space="preserve">The data confirms that in Japan Osaka, our Pharmacist's clinical expertise directly correlates with premium product sales – particularly in chronic care where 72% of patients opt for specialized medication management programs after Pharmacist consultations. This is critical as Osaka's healthcare authorities incentivize pharmacist-led disease management under the</w:t>
      </w:r>
      <w:r>
        <w:t xml:space="preserve"> </w:t>
      </w:r>
      <w:r>
        <w:rPr>
          <w:iCs/>
          <w:i/>
        </w:rPr>
        <w:t xml:space="preserve">Pharmaceutical Care System</w:t>
      </w:r>
      <w:r>
        <w:t xml:space="preserve">.</w:t>
      </w:r>
    </w:p>
    <w:bookmarkEnd w:id="22"/>
    <w:bookmarkStart w:id="23" w:name="Xe86ea8607b670682ec22a7408c3f7e07f7a157e"/>
    <w:p>
      <w:pPr>
        <w:pStyle w:val="Heading2"/>
      </w:pPr>
      <w:r>
        <w:t xml:space="preserve">4. Customer Insights from Pharmacist Engagement</w:t>
      </w:r>
    </w:p>
    <w:p>
      <w:pPr>
        <w:pStyle w:val="FirstParagraph"/>
      </w:pPr>
      <w:r>
        <w:t xml:space="preserve">Customer satisfaction surveys (N=1,850) conducted across Osaka pharmacies revealed that 89% of patients specifically sought our Pharmacist due to their reputation for "understanding Japanese healthcare needs." Key insights include:</w:t>
      </w:r>
    </w:p>
    <w:p>
      <w:pPr>
        <w:numPr>
          <w:ilvl w:val="0"/>
          <w:numId w:val="1002"/>
        </w:numPr>
        <w:pStyle w:val="Compact"/>
      </w:pPr>
      <w:r>
        <w:rPr>
          <w:bCs/>
          <w:b/>
        </w:rPr>
        <w:t xml:space="preserve">Generational Preference:</w:t>
      </w:r>
      <w:r>
        <w:t xml:space="preserve"> </w:t>
      </w:r>
      <w:r>
        <w:t xml:space="preserve">Patients aged 55+ (67% of Osaka population) cited Pharmacist consultation as the primary reason for choosing our pharmacy over competitors.</w:t>
      </w:r>
    </w:p>
    <w:p>
      <w:pPr>
        <w:numPr>
          <w:ilvl w:val="0"/>
          <w:numId w:val="1002"/>
        </w:numPr>
        <w:pStyle w:val="Compact"/>
      </w:pPr>
      <w:r>
        <w:rPr>
          <w:bCs/>
          <w:b/>
        </w:rPr>
        <w:t xml:space="preserve">Cultural Alignment:</w:t>
      </w:r>
      <w:r>
        <w:t xml:space="preserve"> </w:t>
      </w:r>
      <w:r>
        <w:t xml:space="preserve">81% appreciated Pharmacist's ability to explain drug interactions with traditional Kampo medicine – a critical consideration in Japan Osaka where herbal remedies remain culturally significant.</w:t>
      </w:r>
    </w:p>
    <w:p>
      <w:pPr>
        <w:numPr>
          <w:ilvl w:val="0"/>
          <w:numId w:val="1002"/>
        </w:numPr>
        <w:pStyle w:val="Compact"/>
      </w:pPr>
      <w:r>
        <w:rPr>
          <w:bCs/>
          <w:b/>
        </w:rPr>
        <w:t xml:space="preserve">Trust Factor:</w:t>
      </w:r>
      <w:r>
        <w:t xml:space="preserve"> </w:t>
      </w:r>
      <w:r>
        <w:t xml:space="preserve">94% reported higher medication adherence after Pharmacist-administered "medication event monitoring" (MEMS), directly linked to our pharmacists' follow-up calls.</w:t>
      </w:r>
    </w:p>
    <w:p>
      <w:pPr>
        <w:pStyle w:val="FirstParagraph"/>
      </w:pPr>
      <w:r>
        <w:t xml:space="preserve">This trust translates to commercial value: Patients who received pharmacist counseling were 3.2x more likely to purchase additional OTC products during their visit – a metric that defines modern Pharmacist performance in Japan Osaka's customer-centric market.</w:t>
      </w:r>
    </w:p>
    <w:bookmarkEnd w:id="23"/>
    <w:bookmarkStart w:id="24" w:name="challenges-and-strategic-opportunities"/>
    <w:p>
      <w:pPr>
        <w:pStyle w:val="Heading2"/>
      </w:pPr>
      <w:r>
        <w:t xml:space="preserve">5. Challenges and Strategic Opportunities</w:t>
      </w:r>
    </w:p>
    <w:p>
      <w:pPr>
        <w:pStyle w:val="FirstParagraph"/>
      </w:pPr>
      <w:r>
        <w:t xml:space="preserve">Despite strong performance, two challenges require urgent attention for sustained growth in Japan Osaka:</w:t>
      </w:r>
    </w:p>
    <w:p>
      <w:pPr>
        <w:numPr>
          <w:ilvl w:val="0"/>
          <w:numId w:val="1003"/>
        </w:numPr>
        <w:pStyle w:val="Compact"/>
      </w:pPr>
      <w:r>
        <w:rPr>
          <w:bCs/>
          <w:b/>
        </w:rPr>
        <w:t xml:space="preserve">Regulatory Shifts:</w:t>
      </w:r>
      <w:r>
        <w:t xml:space="preserve"> </w:t>
      </w:r>
      <w:r>
        <w:t xml:space="preserve">New Ministry of Health guidelines (effective Jan 2024) limit Pharmacist's direct OTC sales promotions. We must pivot to "health consultation-based" recommendations.</w:t>
      </w:r>
    </w:p>
    <w:p>
      <w:pPr>
        <w:numPr>
          <w:ilvl w:val="0"/>
          <w:numId w:val="1003"/>
        </w:numPr>
        <w:pStyle w:val="Compact"/>
      </w:pPr>
      <w:r>
        <w:rPr>
          <w:bCs/>
          <w:b/>
        </w:rPr>
        <w:t xml:space="preserve">Talent Retention:</w:t>
      </w:r>
      <w:r>
        <w:t xml:space="preserve"> </w:t>
      </w:r>
      <w:r>
        <w:t xml:space="preserve">Osaka's competitive job market has increased Pharmacist turnover by 18% – directly impacting patient continuity of care.</w:t>
      </w:r>
    </w:p>
    <w:p>
      <w:pPr>
        <w:pStyle w:val="FirstParagraph"/>
      </w:pPr>
      <w:r>
        <w:t xml:space="preserve">Strategic opportunities emerging from our Sales Report data include:</w:t>
      </w:r>
    </w:p>
    <w:p>
      <w:pPr>
        <w:numPr>
          <w:ilvl w:val="0"/>
          <w:numId w:val="1004"/>
        </w:numPr>
        <w:pStyle w:val="Compact"/>
      </w:pPr>
      <w:r>
        <w:rPr>
          <w:bCs/>
          <w:b/>
        </w:rPr>
        <w:t xml:space="preserve">Digital Integration:</w:t>
      </w:r>
      <w:r>
        <w:t xml:space="preserve"> </w:t>
      </w:r>
      <w:r>
        <w:t xml:space="preserve">Developing a Pharmacist-approved Osaka Health App for medication reminders (projected to boost refill rates by 25%).</w:t>
      </w:r>
    </w:p>
    <w:p>
      <w:pPr>
        <w:numPr>
          <w:ilvl w:val="0"/>
          <w:numId w:val="1004"/>
        </w:numPr>
        <w:pStyle w:val="Compact"/>
      </w:pPr>
      <w:r>
        <w:rPr>
          <w:bCs/>
          <w:b/>
        </w:rPr>
        <w:t xml:space="preserve">Senior Care Expansion:</w:t>
      </w:r>
      <w:r>
        <w:t xml:space="preserve"> </w:t>
      </w:r>
      <w:r>
        <w:t xml:space="preserve">Partnering with Osaka municipal healthcare centers to deploy Pharmacist teams in community nursing homes – projected ¥12M annual revenue potential.</w:t>
      </w:r>
    </w:p>
    <w:p>
      <w:pPr>
        <w:numPr>
          <w:ilvl w:val="0"/>
          <w:numId w:val="1004"/>
        </w:numPr>
        <w:pStyle w:val="Compact"/>
      </w:pPr>
      <w:r>
        <w:rPr>
          <w:bCs/>
          <w:b/>
        </w:rPr>
        <w:t xml:space="preserve">Cultural Product Curation:</w:t>
      </w:r>
      <w:r>
        <w:t xml:space="preserve"> </w:t>
      </w:r>
      <w:r>
        <w:t xml:space="preserve">Introducing Japan-specific OTC lines (e.g., rice-based digestive aids) co-developed with Pharmacist input for Osaka consumers.</w:t>
      </w:r>
    </w:p>
    <w:bookmarkEnd w:id="24"/>
    <w:bookmarkStart w:id="25" w:name="conclusion"/>
    <w:p>
      <w:pPr>
        <w:pStyle w:val="Heading2"/>
      </w:pPr>
      <w:r>
        <w:t xml:space="preserve">6. Conclusion</w:t>
      </w:r>
    </w:p>
    <w:p>
      <w:pPr>
        <w:pStyle w:val="FirstParagraph"/>
      </w:pPr>
      <w:r>
        <w:t xml:space="preserve">This Sales Report unequivocally demonstrates that in Japan Osaka, the Pharmacist is no longer merely a product dispenser but the central engine of pharmacy success. Our Pharmacist-led clinical services have created measurable revenue growth while strengthening community health outcomes – a dual mandate perfectly aligned with Osaka's healthcare priorities. To maintain leadership, we recommend reallocating 15% of Q4 marketing budget toward expanding our Pharmacist training in geriatric care and digital health tools. As Japan Osaka continues to modernize its healthcare delivery model, the Pharmacist's strategic role will only deepen – making this Sales Report not just a performance review but a blueprint for future market dominance.</w:t>
      </w:r>
    </w:p>
    <w:p>
      <w:pPr>
        <w:pStyle w:val="BodyText"/>
      </w:pPr>
      <w:r>
        <w:t xml:space="preserve">Prepared by Osaka Pharmacy Analytics Division | October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Pharmacist Performance Analysis in Japan Osaka</dc:title>
  <dc:creator/>
  <dc:language>en</dc:language>
  <cp:keywords/>
  <dcterms:created xsi:type="dcterms:W3CDTF">2026-07-23T02:49:16Z</dcterms:created>
  <dcterms:modified xsi:type="dcterms:W3CDTF">2026-07-23T02:49:16Z</dcterms:modified>
</cp:coreProperties>
</file>

<file path=docProps/custom.xml><?xml version="1.0" encoding="utf-8"?>
<Properties xmlns="http://schemas.openxmlformats.org/officeDocument/2006/custom-properties" xmlns:vt="http://schemas.openxmlformats.org/officeDocument/2006/docPropsVTypes"/>
</file>