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Kazakhstan</w:t>
      </w:r>
      <w:r>
        <w:t xml:space="preserve"> </w:t>
      </w:r>
      <w:r>
        <w:t xml:space="preserve">Almaty</w:t>
      </w:r>
    </w:p>
    <w:bookmarkStart w:id="26" w:name="X049627fb846ce86abba30f4712dcb8e9e59f227"/>
    <w:p>
      <w:pPr>
        <w:pStyle w:val="Heading1"/>
      </w:pPr>
      <w:r>
        <w:t xml:space="preserve">Sales Report: Pharmacist Performance &amp; Market Analysis - Kazakhstan Almaty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Kazakhstan Pharmacy Network</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pharmacists across the key Almaty region (Kazakhstan), highlighting critical sales metrics, customer engagement trends, and strategic opportunities. The analysis confirms that pharmacist-led interactions remain central to our success in Kazakhstan's competitive pharmaceutical market. In Almaty, where over 400 retail pharmacies operate within the city limits alone, this Sales Report demonstrates a 12.7% year-over-year increase in total revenue directly linked to enhanced pharmacist expertise and patient counseling services. Key findings indicate that pharmacies with consistently high pharmacist engagement scores achieved 35% higher average transaction values than peers.</w:t>
      </w:r>
    </w:p>
    <w:bookmarkEnd w:id="20"/>
    <w:bookmarkStart w:id="21" w:name="Xaa5712af0b7690ff379bac363ab19f9614f44ad"/>
    <w:p>
      <w:pPr>
        <w:pStyle w:val="Heading2"/>
      </w:pPr>
      <w:r>
        <w:t xml:space="preserve">II. Regional Sales Overview: Kazakhstan Almaty</w:t>
      </w:r>
    </w:p>
    <w:p>
      <w:pPr>
        <w:pStyle w:val="FirstParagraph"/>
      </w:pPr>
      <w:r>
        <w:t xml:space="preserve">Almaty, as the economic hub of Kazakhstan, represents 47% of our national pharmacy sales volume. This Sales Report reveals that Q3 performance in Almaty exceeded regional targets by 8.3%, driven significantly by increased demand for chronic disease management products (e.g., hypertension, diabetes) and seasonal respiratory care solutions during the autumn transition. The city's unique demographic profile – with a large aging population and high urban density – necessitates a specialized pharmacist approach to meet community health needs effectively.</w:t>
      </w:r>
    </w:p>
    <w:p>
      <w:pPr>
        <w:pStyle w:val="BodyText"/>
      </w:pPr>
      <w:r>
        <w:t xml:space="preserve">Pharmacist performance data shows that those conducting at least 3 patient counseling sessions per day (covering medication adherence, OTC recommendations, and lifestyle advice) generated 28% more revenue from prescription refills and complementary wellness products. This directly correlates with Kazakhstan's Ministry of Health guidelines emphasizing pharmacist roles in primary healthcare delivery since the 2023 Pharmacy Licensing Amendments.</w:t>
      </w:r>
    </w:p>
    <w:bookmarkEnd w:id="21"/>
    <w:bookmarkStart w:id="22" w:name="X682d90f47c7c23ea81f452e892a2a306be65e44"/>
    <w:p>
      <w:pPr>
        <w:pStyle w:val="Heading2"/>
      </w:pPr>
      <w:r>
        <w:t xml:space="preserve">III. Pharmacist Performance Metrics: The Core Driver</w:t>
      </w:r>
    </w:p>
    <w:p>
      <w:pPr>
        <w:pStyle w:val="FirstParagraph"/>
      </w:pPr>
      <w:r>
        <w:t xml:space="preserve">This Sales Report underscores that the Pharmacist is not merely a dispensing role but the strategic sales engine of our Almaty operations. Key performance indicators (KPIs) measured for all licensed pharmacists across 180 Almaty locations include:</w:t>
      </w:r>
    </w:p>
    <w:p>
      <w:pPr>
        <w:numPr>
          <w:ilvl w:val="0"/>
          <w:numId w:val="1001"/>
        </w:numPr>
        <w:pStyle w:val="Compact"/>
      </w:pPr>
      <w:r>
        <w:rPr>
          <w:bCs/>
          <w:b/>
        </w:rPr>
        <w:t xml:space="preserve">Customer Satisfaction Score (CSS):</w:t>
      </w:r>
      <w:r>
        <w:t xml:space="preserve"> </w:t>
      </w:r>
      <w:r>
        <w:t xml:space="preserve">Average 4.7/5.0; pharmacies with CSS &gt;4.5 showed 22% higher repeat customer rates.</w:t>
      </w:r>
    </w:p>
    <w:p>
      <w:pPr>
        <w:numPr>
          <w:ilvl w:val="0"/>
          <w:numId w:val="1001"/>
        </w:numPr>
        <w:pStyle w:val="Compact"/>
      </w:pPr>
      <w:r>
        <w:rPr>
          <w:bCs/>
          <w:b/>
        </w:rPr>
        <w:t xml:space="preserve">Counseling Session Rate:</w:t>
      </w:r>
      <w:r>
        <w:t xml:space="preserve"> </w:t>
      </w:r>
      <w:r>
        <w:t xml:space="preserve">68% of pharmacists exceeded the target of 3 daily sessions, directly increasing product basket size by an average of KZT 1,800 per transaction.</w:t>
      </w:r>
    </w:p>
    <w:p>
      <w:pPr>
        <w:numPr>
          <w:ilvl w:val="0"/>
          <w:numId w:val="1001"/>
        </w:numPr>
        <w:pStyle w:val="Compact"/>
      </w:pPr>
      <w:r>
        <w:rPr>
          <w:bCs/>
          <w:b/>
        </w:rPr>
        <w:t xml:space="preserve">Compliance with Kazakhstan Regulations:</w:t>
      </w:r>
      <w:r>
        <w:t xml:space="preserve"> </w:t>
      </w:r>
      <w:r>
        <w:t xml:space="preserve">All pharmacies maintained 100% audit compliance for prescription records and controlled substance management – a critical factor for maintaining operational licenses in Almaty.</w:t>
      </w:r>
    </w:p>
    <w:p>
      <w:pPr>
        <w:numPr>
          <w:ilvl w:val="0"/>
          <w:numId w:val="1001"/>
        </w:numPr>
        <w:pStyle w:val="Compact"/>
      </w:pPr>
      <w:r>
        <w:rPr>
          <w:bCs/>
          <w:b/>
        </w:rPr>
        <w:t xml:space="preserve">Opioid &amp; Antibiotic Stewardship:</w:t>
      </w:r>
      <w:r>
        <w:t xml:space="preserve"> </w:t>
      </w:r>
      <w:r>
        <w:t xml:space="preserve">Pharmacists successfully reduced inappropriate antibiotic requests by 31% through evidence-based counseling, aligning with Kazakhstan's national public health priorities.</w:t>
      </w:r>
    </w:p>
    <w:bookmarkEnd w:id="22"/>
    <w:bookmarkStart w:id="23" w:name="X7a45c0e6c62ea3b8904e8ff2e750fdc4e045ed2"/>
    <w:p>
      <w:pPr>
        <w:pStyle w:val="Heading2"/>
      </w:pPr>
      <w:r>
        <w:t xml:space="preserve">IV. Category Sales Analysis: Pharmacist-Driven Growth</w:t>
      </w:r>
    </w:p>
    <w:p>
      <w:pPr>
        <w:pStyle w:val="FirstParagraph"/>
      </w:pPr>
      <w:r>
        <w:t xml:space="preserve">The following table illustrates category performance in Kazakhstan Almaty, emphasizing where pharmacist expertise directly influenced sales velocity: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 of Total Sales (Q3)</w:t>
            </w:r>
          </w:p>
        </w:tc>
        <w:tc>
          <w:tcPr/>
          <w:p>
            <w:pPr>
              <w:pStyle w:val="Compact"/>
              <w:jc w:val="left"/>
            </w:pPr>
            <w:r>
              <w:t xml:space="preserve">Y/Y Growth</w:t>
            </w:r>
          </w:p>
        </w:tc>
        <w:tc>
          <w:tcPr/>
          <w:p>
            <w:pPr>
              <w:pStyle w:val="Compact"/>
              <w:jc w:val="left"/>
            </w:pPr>
            <w:r>
              <w:t xml:space="preserve">Key Pharmacist Impact Factor</w:t>
            </w:r>
          </w:p>
        </w:tc>
      </w:tr>
      <w:tr>
        <w:tc>
          <w:tcPr/>
          <w:p>
            <w:pPr>
              <w:pStyle w:val="Compact"/>
              <w:jc w:val="left"/>
            </w:pPr>
            <w:r>
              <w:t xml:space="preserve">Chronic Disease Management (Diabetes, Hypertension)</w:t>
            </w:r>
          </w:p>
        </w:tc>
        <w:tc>
          <w:tcPr/>
          <w:p>
            <w:pPr>
              <w:pStyle w:val="Compact"/>
              <w:jc w:val="left"/>
            </w:pPr>
            <w:r>
              <w:t xml:space="preserve">34%</w:t>
            </w:r>
          </w:p>
        </w:tc>
        <w:tc>
          <w:tcPr/>
          <w:p>
            <w:pPr>
              <w:pStyle w:val="Compact"/>
              <w:jc w:val="left"/>
            </w:pPr>
            <w:r>
              <w:t xml:space="preserve">+18.2%</w:t>
            </w:r>
          </w:p>
        </w:tc>
        <w:tc>
          <w:tcPr/>
          <w:p>
            <w:pPr>
              <w:pStyle w:val="Compact"/>
              <w:jc w:val="left"/>
            </w:pPr>
            <w:r>
              <w:t xml:space="preserve">Counseling on regimen optimization + co-pays</w:t>
            </w:r>
          </w:p>
        </w:tc>
      </w:tr>
      <w:tr>
        <w:tc>
          <w:tcPr/>
          <w:p>
            <w:pPr>
              <w:pStyle w:val="Compact"/>
              <w:jc w:val="left"/>
            </w:pPr>
            <w:r>
              <w:t xml:space="preserve">Nutritional Supplements &amp; Vitamins</w:t>
            </w:r>
          </w:p>
        </w:tc>
        <w:tc>
          <w:tcPr/>
          <w:p>
            <w:pPr>
              <w:pStyle w:val="Compact"/>
              <w:jc w:val="left"/>
            </w:pPr>
            <w:r>
              <w:t xml:space="preserve">27%</w:t>
            </w:r>
          </w:p>
        </w:tc>
        <w:tc>
          <w:tcPr/>
          <w:p>
            <w:pPr>
              <w:pStyle w:val="Compact"/>
              <w:jc w:val="left"/>
            </w:pPr>
            <w:r>
              <w:t xml:space="preserve">+25.6%</w:t>
            </w:r>
          </w:p>
        </w:tc>
        <w:tc>
          <w:tcPr/>
          <w:p>
            <w:pPr>
              <w:pStyle w:val="Compact"/>
              <w:jc w:val="left"/>
            </w:pPr>
            <w:r>
              <w:t xml:space="preserve">Personalized recommendations based on health screenings</w:t>
            </w:r>
          </w:p>
        </w:tc>
      </w:tr>
      <w:tr>
        <w:tc>
          <w:tcPr/>
          <w:p>
            <w:pPr>
              <w:pStyle w:val="Compact"/>
              <w:jc w:val="left"/>
            </w:pPr>
            <w:r>
              <w:t xml:space="preserve">OTC Respiratory &amp; Allergy Products</w:t>
            </w:r>
          </w:p>
        </w:tc>
        <w:tc>
          <w:tcPr/>
          <w:p>
            <w:pPr>
              <w:pStyle w:val="Compact"/>
              <w:jc w:val="left"/>
            </w:pPr>
            <w:r>
              <w:t xml:space="preserve">19%</w:t>
            </w:r>
          </w:p>
        </w:tc>
        <w:tc>
          <w:tcPr/>
          <w:p>
            <w:pPr>
              <w:pStyle w:val="Compact"/>
              <w:jc w:val="left"/>
            </w:pPr>
            <w:r>
              <w:t xml:space="preserve">+15.3%</w:t>
            </w:r>
          </w:p>
        </w:tc>
        <w:tc>
          <w:tcPr/>
          <w:p>
            <w:pPr>
              <w:pStyle w:val="Compact"/>
              <w:jc w:val="left"/>
            </w:pPr>
            <w:r>
              <w:t xml:space="preserve">Triage for symptom severity; preventing unnecessary ER visits</w:t>
            </w:r>
          </w:p>
        </w:tc>
      </w:tr>
      <w:tr>
        <w:tc>
          <w:tcPr/>
          <w:p>
            <w:pPr>
              <w:pStyle w:val="Compact"/>
              <w:jc w:val="left"/>
            </w:pPr>
            <w:r>
              <w:t xml:space="preserve">Dermatology &amp; Cosmeceuticals</w:t>
            </w:r>
          </w:p>
        </w:tc>
        <w:tc>
          <w:tcPr/>
          <w:p>
            <w:pPr>
              <w:pStyle w:val="Compact"/>
              <w:jc w:val="left"/>
            </w:pPr>
            <w:r>
              <w:t xml:space="preserve">12%</w:t>
            </w:r>
          </w:p>
        </w:tc>
        <w:tc>
          <w:tcPr/>
          <w:p>
            <w:pPr>
              <w:pStyle w:val="Compact"/>
              <w:jc w:val="left"/>
            </w:pPr>
            <w:r>
              <w:t xml:space="preserve">+29.8%</w:t>
            </w:r>
          </w:p>
        </w:tc>
        <w:tc>
          <w:tcPr/>
          <w:p>
            <w:pPr>
              <w:pStyle w:val="Compact"/>
              <w:jc w:val="left"/>
            </w:pPr>
            <w:r>
              <w:t xml:space="preserve">Acne/wound care consultations by pharmacist specialists</w:t>
            </w:r>
          </w:p>
        </w:tc>
      </w:tr>
      <w:tr>
        <w:tc>
          <w:tcPr/>
          <w:p>
            <w:pPr>
              <w:pStyle w:val="Compact"/>
              <w:jc w:val="left"/>
            </w:pPr>
            <w:r>
              <w:t xml:space="preserve">Vitamins &amp; Minerals (General)</w:t>
            </w:r>
          </w:p>
        </w:tc>
        <w:tc>
          <w:tcPr/>
          <w:p>
            <w:pPr>
              <w:pStyle w:val="Compact"/>
              <w:jc w:val="left"/>
            </w:pPr>
            <w:r>
              <w:t xml:space="preserve">8%</w:t>
            </w:r>
          </w:p>
        </w:tc>
        <w:tc>
          <w:tcPr/>
          <w:p>
            <w:pPr>
              <w:pStyle w:val="Compact"/>
              <w:jc w:val="left"/>
            </w:pPr>
            <w:r>
              <w:t xml:space="preserve">+10.5%</w:t>
            </w:r>
          </w:p>
        </w:tc>
        <w:tc>
          <w:tcPr/>
          <w:p>
            <w:pPr>
              <w:pStyle w:val="Compact"/>
              <w:jc w:val="left"/>
            </w:pPr>
            <w:r>
              <w:t xml:space="preserve">Loyalty program bundling advice</w:t>
            </w:r>
          </w:p>
        </w:tc>
      </w:tr>
    </w:tbl>
    <w:p>
      <w:pPr>
        <w:pStyle w:val="BodyText"/>
      </w:pPr>
      <w:r>
        <w:t xml:space="preserve">Notably, the 29.8% growth in Dermatology products was directly attributed to Almaty pharmacists implementing a new skin health assessment protocol developed in partnership with local clinics (e.g., Medsi, Astra). This demonstrates how pharmacist innovation drives category expansion.</w:t>
      </w:r>
    </w:p>
    <w:bookmarkEnd w:id="23"/>
    <w:bookmarkStart w:id="24" w:name="Xf849a44de82d7f9b23cac668997c4207e5988cc"/>
    <w:p>
      <w:pPr>
        <w:pStyle w:val="Heading2"/>
      </w:pPr>
      <w:r>
        <w:t xml:space="preserve">V. Key Challenges &amp; Strategic Recommendations</w:t>
      </w:r>
    </w:p>
    <w:p>
      <w:pPr>
        <w:pStyle w:val="FirstParagraph"/>
      </w:pPr>
      <w:r>
        <w:t xml:space="preserve">While the Sales Report highlights strong performance, Almaty-specific challenges require immediate attention:</w:t>
      </w:r>
    </w:p>
    <w:p>
      <w:pPr>
        <w:numPr>
          <w:ilvl w:val="0"/>
          <w:numId w:val="1002"/>
        </w:numPr>
        <w:pStyle w:val="Compact"/>
      </w:pPr>
      <w:r>
        <w:rPr>
          <w:bCs/>
          <w:b/>
        </w:rPr>
        <w:t xml:space="preserve">Seasonal Demand Spikes:</w:t>
      </w:r>
      <w:r>
        <w:t xml:space="preserve"> </w:t>
      </w:r>
      <w:r>
        <w:t xml:space="preserve">Unpredictable weather shifts cause 40% of respiratory product demand. Recommendation: Implement pharmacist-led seasonal inventory planning with dynamic stock alerts tied to local meteorological data.</w:t>
      </w:r>
    </w:p>
    <w:p>
      <w:pPr>
        <w:numPr>
          <w:ilvl w:val="0"/>
          <w:numId w:val="1002"/>
        </w:numPr>
        <w:pStyle w:val="Compact"/>
      </w:pPr>
      <w:r>
        <w:rPr>
          <w:bCs/>
          <w:b/>
        </w:rPr>
        <w:t xml:space="preserve">Pharmacist Shortage in Emerging Districts:</w:t>
      </w:r>
      <w:r>
        <w:t xml:space="preserve"> </w:t>
      </w:r>
      <w:r>
        <w:t xml:space="preserve">New residential areas (e.g., Tengiz, Almaly) face pharmacist access gaps. Recommendation: Launch a "Mobile Pharmacist" initiative for 20+ underserved neighborhoods within 12 months.</w:t>
      </w:r>
    </w:p>
    <w:p>
      <w:pPr>
        <w:numPr>
          <w:ilvl w:val="0"/>
          <w:numId w:val="1002"/>
        </w:numPr>
        <w:pStyle w:val="Compact"/>
      </w:pPr>
      <w:r>
        <w:rPr>
          <w:bCs/>
          <w:b/>
        </w:rPr>
        <w:t xml:space="preserve">Digital Adoption Gap:</w:t>
      </w:r>
      <w:r>
        <w:t xml:space="preserve"> </w:t>
      </w:r>
      <w:r>
        <w:t xml:space="preserve">Only 58% of Almaty pharmacies fully utilize the national e-pharmacy platform (ePharma.kz). Recommendation: Intensify pharmacist training on digital tools for prescription management and patient follow-up – a critical priority under Kazakhstan's Digital Healthcare Strategy 2030.</w:t>
      </w:r>
    </w:p>
    <w:bookmarkEnd w:id="24"/>
    <w:bookmarkStart w:id="25" w:name="X9747dd7e73db51c0177ec4c62c1834bb3a86db7"/>
    <w:p>
      <w:pPr>
        <w:pStyle w:val="Heading2"/>
      </w:pPr>
      <w:r>
        <w:t xml:space="preserve">VI. Conclusion: The Pharmacist as Central to Almaty's Pharmacy Success</w:t>
      </w:r>
    </w:p>
    <w:p>
      <w:pPr>
        <w:pStyle w:val="FirstParagraph"/>
      </w:pPr>
      <w:r>
        <w:t xml:space="preserve">This Sales Report unequivocally proves that in the complex and growing market of Kazakhstan Almaty, the Pharmacist is the indispensable catalyst for sustainable revenue growth, regulatory compliance, and community health impact. Our data shows that every dollar invested in pharmacist training yields a KZT 7.3 return through increased basket size and customer retention. As Kazakhstan accelerates its healthcare modernization under the "Healthy Nation 2030" program, pharmacies led by skilled pharmacists will be pivotal in delivering accessible, high-quality care.</w:t>
      </w:r>
    </w:p>
    <w:p>
      <w:pPr>
        <w:pStyle w:val="BodyText"/>
      </w:pPr>
      <w:r>
        <w:t xml:space="preserve">Going forward, we recommend anchoring all Almaty expansion initiatives around enhancing pharmacist capabilities – from advanced clinical training modules tailored to Kazakhstan's prevalent health burdens (e.g., cardiovascular disease) to creating pharmacist-led wellness hubs in key neighborhoods like Central Almaty and Medeu. The future of pharmacy success in Kazakhstan is not just about selling medicine; it's about the Pharmacist being the trusted health advisor, a role our Sales Report confirms generates measurable financial and community value across Almaty.</w:t>
      </w:r>
    </w:p>
    <w:p>
      <w:pPr>
        <w:pStyle w:val="BodyText"/>
      </w:pPr>
      <w:r>
        <w:rPr>
          <w:bCs/>
          <w:b/>
        </w:rPr>
        <w:t xml:space="preserve">Prepared By:</w:t>
      </w:r>
      <w:r>
        <w:t xml:space="preserve"> </w:t>
      </w:r>
      <w:r>
        <w:t xml:space="preserve">Regional Sales Analytics Team</w:t>
      </w:r>
      <w:r>
        <w:br/>
      </w:r>
      <w:r>
        <w:rPr>
          <w:bCs/>
          <w:b/>
        </w:rPr>
        <w:t xml:space="preserve">Pharmacy Network Operations, Kazakhstan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Kazakhstan Almaty</dc:title>
  <dc:creator/>
  <dc:language>en</dc:language>
  <cp:keywords/>
  <dcterms:created xsi:type="dcterms:W3CDTF">2026-07-21T03:24:26Z</dcterms:created>
  <dcterms:modified xsi:type="dcterms:W3CDTF">2026-07-21T03:24:26Z</dcterms:modified>
</cp:coreProperties>
</file>

<file path=docProps/custom.xml><?xml version="1.0" encoding="utf-8"?>
<Properties xmlns="http://schemas.openxmlformats.org/officeDocument/2006/custom-properties" xmlns:vt="http://schemas.openxmlformats.org/officeDocument/2006/docPropsVTypes"/>
</file>