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Kuwait</w:t>
      </w:r>
      <w:r>
        <w:t xml:space="preserve"> </w:t>
      </w:r>
      <w:r>
        <w:t xml:space="preserve">City</w:t>
      </w:r>
    </w:p>
    <w:bookmarkStart w:id="28" w:name="Xb9c2676bd8413a7c7a293b6ac0ce93198342c07"/>
    <w:p>
      <w:pPr>
        <w:pStyle w:val="Heading1"/>
      </w:pPr>
      <w:r>
        <w:t xml:space="preserve">Comprehensive Monthly Sales Report for Pharmacist Operations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Kuwait City District</w:t>
      </w:r>
      <w:r>
        <w:br/>
      </w:r>
      <w:r>
        <w:rPr>
          <w:bCs/>
          <w:b/>
        </w:rPr>
        <w:t xml:space="preserve">Report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details the performance of pharmacist-led operations across key pharmacy locations in Kuwait City during September. As a licensed Pharmacist operating within Kuwait's regulated healthcare ecosystem, this report underscores critical trends affecting prescription fulfillment, OTC product demand, and patient engagement strategies specific to our urban market. With Kuwait City serving as the nation's commercial and healthcare hub—home to over 70% of the country’s retail pharmacies—the data reflects localized consumer behavior patterns unique to this high-density urban environment. The Pharmacist team achieved a 12% month-over-month sales growth, driven by strategic inventory management aligned with Kuwaiti health priorities.</w:t>
      </w:r>
    </w:p>
    <w:bookmarkEnd w:id="20"/>
    <w:bookmarkStart w:id="22" w:name="Xcb72f723d5a8084133bde2b487884b699c3cfd5"/>
    <w:p>
      <w:pPr>
        <w:pStyle w:val="Heading2"/>
      </w:pPr>
      <w:r>
        <w:t xml:space="preserve">II. Sales Performance Overview (Kuwait City Market)</w:t>
      </w:r>
    </w:p>
    <w:p>
      <w:pPr>
        <w:pStyle w:val="FirstParagraph"/>
      </w:pPr>
      <w:r>
        <w:t xml:space="preserve">The September sales cycle in Kuwait City demonstrated robust performance across all pharmacy segments. Total revenue reached KWD 184,500 (approx. USD 607,000), exceeding the monthly target by 9.3%. This growth was directly attributed to pharmacist-led clinical services—particularly medication therapy management (MTM) for chronic conditions—which increased patient retention rates by 15%. Key drivers included:</w:t>
      </w:r>
    </w:p>
    <w:p>
      <w:pPr>
        <w:numPr>
          <w:ilvl w:val="0"/>
          <w:numId w:val="1001"/>
        </w:numPr>
        <w:pStyle w:val="Compact"/>
      </w:pPr>
      <w:r>
        <w:rPr>
          <w:bCs/>
          <w:b/>
        </w:rPr>
        <w:t xml:space="preserve">Prescription Volume:</w:t>
      </w:r>
      <w:r>
        <w:t xml:space="preserve"> </w:t>
      </w:r>
      <w:r>
        <w:t xml:space="preserve">+14% YoY (28,750 scripts), fueled by rising diabetes and hypertension cases per Ministry of Health (MOH) reports.</w:t>
      </w:r>
    </w:p>
    <w:p>
      <w:pPr>
        <w:numPr>
          <w:ilvl w:val="0"/>
          <w:numId w:val="1001"/>
        </w:numPr>
        <w:pStyle w:val="Compact"/>
      </w:pPr>
      <w:r>
        <w:rPr>
          <w:bCs/>
          <w:b/>
        </w:rPr>
        <w:t xml:space="preserve">OTC Category Growth:</w:t>
      </w:r>
      <w:r>
        <w:t xml:space="preserve"> </w:t>
      </w:r>
      <w:r>
        <w:t xml:space="preserve">22% increase in vitamins/supplements driven by post-Ramadan health awareness campaigns.</w:t>
      </w:r>
    </w:p>
    <w:p>
      <w:pPr>
        <w:numPr>
          <w:ilvl w:val="0"/>
          <w:numId w:val="1001"/>
        </w:numPr>
        <w:pStyle w:val="Compact"/>
      </w:pPr>
      <w:r>
        <w:rPr>
          <w:bCs/>
          <w:b/>
        </w:rPr>
        <w:t xml:space="preserve">Pharmacist-Initiated Services:</w:t>
      </w:r>
      <w:r>
        <w:t xml:space="preserve"> </w:t>
      </w:r>
      <w:r>
        <w:t xml:space="preserve">MTM consultations generated KWD 18,500 revenue (13.2% of total), highlighting pharmacist value beyond dispensing.</w:t>
      </w:r>
    </w:p>
    <w:bookmarkStart w:id="21" w:name="Xa812db7816373e5cd76a5427b52b92c86b697a2"/>
    <w:p>
      <w:pPr>
        <w:pStyle w:val="Heading3"/>
      </w:pPr>
      <w:r>
        <w:t xml:space="preserve">Table 1: Category Performance Comparison (Kuwait City Pharmacies)</w:t>
      </w:r>
    </w:p>
    <w:p>
      <w:pPr>
        <w:pStyle w:val="FirstParagraph"/>
      </w:pPr>
      <w:r>
        <w:t xml:space="preserve">Product Category</w:t>
      </w:r>
    </w:p>
    <w:p>
      <w:pPr>
        <w:pStyle w:val="BodyText"/>
      </w:pPr>
      <w:r>
        <w:t xml:space="preserve">Sales (KWD)</w:t>
      </w:r>
    </w:p>
    <w:p>
      <w:pPr>
        <w:pStyle w:val="BodyText"/>
      </w:pPr>
      <w:r>
        <w:t xml:space="preserve">% Growth vs August</w:t>
      </w:r>
    </w:p>
    <w:p>
      <w:pPr>
        <w:pStyle w:val="BodyText"/>
      </w:pPr>
      <w:r>
        <w:t xml:space="preserve">Kuwait City Market Share</w:t>
      </w:r>
    </w:p>
    <w:p>
      <w:pPr>
        <w:pStyle w:val="BodyText"/>
      </w:pPr>
      <w:r>
        <w:t xml:space="preserve">Prescription Medications</w:t>
      </w:r>
    </w:p>
    <w:p>
      <w:pPr>
        <w:pStyle w:val="BodyText"/>
      </w:pPr>
      <w:r>
        <w:t xml:space="preserve">112,300</w:t>
      </w:r>
    </w:p>
    <w:p>
      <w:pPr>
        <w:pStyle w:val="BodyText"/>
      </w:pPr>
      <w:r>
        <w:t xml:space="preserve">+14.2%</w:t>
      </w:r>
    </w:p>
    <w:p>
      <w:pPr>
        <w:pStyle w:val="BodyText"/>
      </w:pPr>
      <w:r>
        <w:t xml:space="preserve">68.5%</w:t>
      </w:r>
    </w:p>
    <w:p>
      <w:pPr>
        <w:pStyle w:val="BodyText"/>
      </w:pPr>
      <w:r>
        <w:t xml:space="preserve">OTC Health &amp; Wellness</w:t>
      </w:r>
    </w:p>
    <w:p>
      <w:pPr>
        <w:pStyle w:val="BodyText"/>
      </w:pPr>
      <w:r>
        <w:t xml:space="preserve">49,850</w:t>
      </w:r>
    </w:p>
    <w:p>
      <w:pPr>
        <w:pStyle w:val="BodyText"/>
      </w:pPr>
      <w:r>
        <w:t xml:space="preserve">+22.7%</w:t>
      </w:r>
    </w:p>
    <w:p>
      <w:pPr>
        <w:pStyle w:val="BodyText"/>
      </w:pPr>
      <w:r>
        <w:t xml:space="preserve">Vitamins/Supplements</w:t>
      </w:r>
    </w:p>
    <w:p>
      <w:pPr>
        <w:pStyle w:val="BodyText"/>
      </w:pPr>
      <w:r>
        <w:t xml:space="preserve">18,700</w:t>
      </w:r>
    </w:p>
    <w:p>
      <w:pPr>
        <w:pStyle w:val="BodyText"/>
      </w:pPr>
      <w:r>
        <w:t xml:space="preserve">+31.4%</w:t>
      </w:r>
    </w:p>
    <w:p>
      <w:pPr>
        <w:pStyle w:val="BodyText"/>
      </w:pPr>
      <w:r>
        <w:t xml:space="preserve">Personal Care Products</w:t>
      </w:r>
    </w:p>
    <w:p>
      <w:pPr>
        <w:pStyle w:val="BodyText"/>
      </w:pPr>
      <w:r>
        <w:rPr>
          <w:bCs/>
          <w:b/>
        </w:rPr>
        <w:t xml:space="preserve">Total Sales</w:t>
      </w:r>
    </w:p>
    <w:p>
      <w:pPr>
        <w:pStyle w:val="BodyText"/>
      </w:pPr>
      <w:r>
        <w:rPr>
          <w:bCs/>
          <w:b/>
        </w:rPr>
        <w:t xml:space="preserve">184,500</w:t>
      </w:r>
    </w:p>
    <w:p>
      <w:pPr>
        <w:pStyle w:val="BodyText"/>
      </w:pPr>
      <w:r>
        <w:rPr>
          <w:bCs/>
          <w:b/>
        </w:rPr>
        <w:t xml:space="preserve">+12.3%</w:t>
      </w:r>
    </w:p>
    <w:p>
      <w:pPr>
        <w:pStyle w:val="BodyText"/>
      </w:pPr>
      <w:r>
        <w:t xml:space="preserve">-</w:t>
      </w:r>
    </w:p>
    <w:bookmarkEnd w:id="21"/>
    <w:bookmarkEnd w:id="22"/>
    <w:bookmarkStart w:id="23" w:name="X4361c5b53707b1c4eda1527c00da18292ba2359"/>
    <w:p>
      <w:pPr>
        <w:pStyle w:val="Heading2"/>
      </w:pPr>
      <w:r>
        <w:t xml:space="preserve">III. Kuwait City-Specific Market Analysis</w:t>
      </w:r>
    </w:p>
    <w:p>
      <w:pPr>
        <w:pStyle w:val="FirstParagraph"/>
      </w:pPr>
      <w:r>
        <w:t xml:space="preserve">As a Pharmacist operating in Kuwait City, our data reveals distinct regional patterns:</w:t>
      </w:r>
    </w:p>
    <w:p>
      <w:pPr>
        <w:numPr>
          <w:ilvl w:val="0"/>
          <w:numId w:val="1002"/>
        </w:numPr>
        <w:pStyle w:val="Compact"/>
      </w:pPr>
      <w:r>
        <w:rPr>
          <w:bCs/>
          <w:b/>
        </w:rPr>
        <w:t xml:space="preserve">High-Density Residential Zones (Salmiya, Al-Hawally):</w:t>
      </w:r>
      <w:r>
        <w:t xml:space="preserve"> </w:t>
      </w:r>
      <w:r>
        <w:t xml:space="preserve">42% of prescription growth came from these areas, correlating with Kuwait’s aging population (15.8% aged 60+). Pharmacist teams implemented targeted elder care programs.</w:t>
      </w:r>
    </w:p>
    <w:p>
      <w:pPr>
        <w:numPr>
          <w:ilvl w:val="0"/>
          <w:numId w:val="1002"/>
        </w:numPr>
        <w:pStyle w:val="Compact"/>
      </w:pPr>
      <w:r>
        <w:rPr>
          <w:bCs/>
          <w:b/>
        </w:rPr>
        <w:t xml:space="preserve">Retail Districts (Safat, Mansouriya):</w:t>
      </w:r>
      <w:r>
        <w:t xml:space="preserve"> </w:t>
      </w:r>
      <w:r>
        <w:t xml:space="preserve">OTC sales surged by 27% due to foot traffic from shopping malls. Pharmacists leveraged this with point-of-sale health screenings.</w:t>
      </w:r>
    </w:p>
    <w:p>
      <w:pPr>
        <w:numPr>
          <w:ilvl w:val="0"/>
          <w:numId w:val="1002"/>
        </w:numPr>
        <w:pStyle w:val="Compact"/>
      </w:pPr>
      <w:r>
        <w:rPr>
          <w:bCs/>
          <w:b/>
        </w:rPr>
        <w:t xml:space="preserve">Cultural Considerations:</w:t>
      </w:r>
      <w:r>
        <w:t xml:space="preserve"> </w:t>
      </w:r>
      <w:r>
        <w:t xml:space="preserve">Post-Ramadan health trends saw 35% higher demand for electrolyte supplements and digestive aids—a direct response to pharmacist-led community education in Kuwait City mosques and clinics.</w:t>
      </w:r>
    </w:p>
    <w:bookmarkEnd w:id="23"/>
    <w:bookmarkStart w:id="24" w:name="iv.-pharmacist-impact-on-sales-strategy"/>
    <w:p>
      <w:pPr>
        <w:pStyle w:val="Heading2"/>
      </w:pPr>
      <w:r>
        <w:t xml:space="preserve">IV. Pharmacist Impact on Sales Strategy</w:t>
      </w:r>
    </w:p>
    <w:p>
      <w:pPr>
        <w:pStyle w:val="FirstParagraph"/>
      </w:pPr>
      <w:r>
        <w:t xml:space="preserve">This report affirms the Pharmacist’s evolving role beyond dispensing. In Kuwait City, our Pharmacist staff initiated:</w:t>
      </w:r>
    </w:p>
    <w:p>
      <w:pPr>
        <w:numPr>
          <w:ilvl w:val="0"/>
          <w:numId w:val="1003"/>
        </w:numPr>
        <w:pStyle w:val="Compact"/>
      </w:pPr>
      <w:r>
        <w:rPr>
          <w:bCs/>
          <w:b/>
        </w:rPr>
        <w:t xml:space="preserve">Chronic Disease Management Programs:</w:t>
      </w:r>
      <w:r>
        <w:t xml:space="preserve"> </w:t>
      </w:r>
      <w:r>
        <w:t xml:space="preserve">Collaborated with MOH to create diabetes care bundles (medication + glucose test strips), increasing average transaction value by 28%.</w:t>
      </w:r>
    </w:p>
    <w:p>
      <w:pPr>
        <w:numPr>
          <w:ilvl w:val="0"/>
          <w:numId w:val="1003"/>
        </w:numPr>
        <w:pStyle w:val="Compact"/>
      </w:pPr>
      <w:r>
        <w:rPr>
          <w:bCs/>
          <w:b/>
        </w:rPr>
        <w:t xml:space="preserve">Vaccine Administration Expansion:</w:t>
      </w:r>
      <w:r>
        <w:t xml:space="preserve"> </w:t>
      </w:r>
      <w:r>
        <w:t xml:space="preserve">Pharmacist-led flu shots generated KWD 9,200 in September alone—35% of all immunization services in Kuwait City.</w:t>
      </w:r>
    </w:p>
    <w:p>
      <w:pPr>
        <w:numPr>
          <w:ilvl w:val="0"/>
          <w:numId w:val="1003"/>
        </w:numPr>
        <w:pStyle w:val="Compact"/>
      </w:pPr>
      <w:r>
        <w:rPr>
          <w:bCs/>
          <w:b/>
        </w:rPr>
        <w:t xml:space="preserve">Inventory Optimization:</w:t>
      </w:r>
      <w:r>
        <w:t xml:space="preserve"> </w:t>
      </w:r>
      <w:r>
        <w:t xml:space="preserve">Real-time data from our pharmacy management system (integrated with Kuwaiti e-Health Platform) allowed Pharmacist teams to reduce stockouts by 41% for high-demand items like insulin and antihypertensives.</w:t>
      </w:r>
    </w:p>
    <w:bookmarkEnd w:id="24"/>
    <w:bookmarkStart w:id="25" w:name="v.-challenges-recommendations"/>
    <w:p>
      <w:pPr>
        <w:pStyle w:val="Heading2"/>
      </w:pPr>
      <w:r>
        <w:t xml:space="preserve">V. Challenges &amp; Recommendations</w:t>
      </w:r>
    </w:p>
    <w:p>
      <w:pPr>
        <w:pStyle w:val="FirstParagraph"/>
      </w:pPr>
      <w:r>
        <w:t xml:space="preserve">While performance exceeded targets, two Kuwait City-specific challenges emerged:</w:t>
      </w:r>
    </w:p>
    <w:p>
      <w:pPr>
        <w:numPr>
          <w:ilvl w:val="0"/>
          <w:numId w:val="1004"/>
        </w:numPr>
        <w:pStyle w:val="Compact"/>
      </w:pPr>
      <w:r>
        <w:rPr>
          <w:bCs/>
          <w:b/>
        </w:rPr>
        <w:t xml:space="preserve">Supply Chain Disruptions:</w:t>
      </w:r>
      <w:r>
        <w:t xml:space="preserve"> </w:t>
      </w:r>
      <w:r>
        <w:t xml:space="preserve">17% of imported pharmaceuticals faced customs delays (e.g., specialized oncology drugs). *Recommendation:* Pharmacist teams to partner with local distributors (e.g., Alhajjaj Group) for emergency stockpiling.</w:t>
      </w:r>
    </w:p>
    <w:p>
      <w:pPr>
        <w:numPr>
          <w:ilvl w:val="0"/>
          <w:numId w:val="1004"/>
        </w:numPr>
        <w:pStyle w:val="Compact"/>
      </w:pPr>
      <w:r>
        <w:rPr>
          <w:bCs/>
          <w:b/>
        </w:rPr>
        <w:t xml:space="preserve">Patient Compliance Rates:</w:t>
      </w:r>
      <w:r>
        <w:t xml:space="preserve"> </w:t>
      </w:r>
      <w:r>
        <w:t xml:space="preserve">Only 58% of chronic patients completed 90-day medication courses. *Recommendation:* Pharmacist-led SMS reminders system, modeled after Kuwait’s National Health Strategy (2023).</w:t>
      </w:r>
    </w:p>
    <w:bookmarkEnd w:id="25"/>
    <w:bookmarkStart w:id="27" w:name="vi.-conclusion"/>
    <w:p>
      <w:pPr>
        <w:pStyle w:val="Heading2"/>
      </w:pPr>
      <w:r>
        <w:t xml:space="preserve">VI. Conclusion</w:t>
      </w:r>
    </w:p>
    <w:p>
      <w:pPr>
        <w:pStyle w:val="FirstParagraph"/>
      </w:pPr>
      <w:r>
        <w:t xml:space="preserve">This Sales Report demonstrates that in Kuwait City, the Pharmacist is not merely a dispenser but a strategic revenue driver and health educator. With pharmaceutical sales growth projected at 8.7% annually for Kuwait (per Kuwait Economic Department), our September results position pharmacist-led pharmacies to capture significant market share. The integration of clinical services—particularly in high-demand areas like Salmiya and Mansouriya—proves that pharmacist expertise directly correlates with revenue growth in Kuwait City’s competitive retail environment.</w:t>
      </w:r>
    </w:p>
    <w:p>
      <w:pPr>
        <w:pStyle w:val="BodyText"/>
      </w:pPr>
      <w:r>
        <w:rPr>
          <w:bCs/>
          <w:b/>
        </w:rPr>
        <w:t xml:space="preserve">Final Note:</w:t>
      </w:r>
      <w:r>
        <w:t xml:space="preserve"> </w:t>
      </w:r>
      <w:r>
        <w:t xml:space="preserve">As a Pharmacist committed to Kuwait’s healthcare advancement, we recommend expanding MTM services to 100% of our Kuwait City locations by Q1 2024. This aligns with the Ministry of Health’s "Pharmacy First" initiative and will further solidify the Pharmacist as the cornerstone of community health in Kuwait City.</w:t>
      </w:r>
    </w:p>
    <w:bookmarkStart w:id="26" w:name="X324f63fb6cb2f715cc3849db54ddec6e635ec78"/>
    <w:p>
      <w:pPr>
        <w:pStyle w:val="Heading3"/>
      </w:pPr>
      <w:r>
        <w:t xml:space="preserve">Prepared By: [Your Name], Licensed Pharmacist</w:t>
      </w:r>
    </w:p>
    <w:p>
      <w:pPr>
        <w:pStyle w:val="FirstParagraph"/>
      </w:pPr>
      <w:r>
        <w:rPr>
          <w:iCs/>
          <w:i/>
        </w:rPr>
        <w:t xml:space="preserve">This report complies with Kuwaiti Pharmaceutical Regulations (Decree No. 16/2020) and Ministry of Health data standards for healthcare providers in Kuwait City.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Pharmacist Performance in Kuwait City</dc:title>
  <dc:creator/>
  <dc:language>en</dc:language>
  <cp:keywords/>
  <dcterms:created xsi:type="dcterms:W3CDTF">2026-07-24T05:56:43Z</dcterms:created>
  <dcterms:modified xsi:type="dcterms:W3CDTF">2026-07-24T05:56:43Z</dcterms:modified>
</cp:coreProperties>
</file>

<file path=docProps/custom.xml><?xml version="1.0" encoding="utf-8"?>
<Properties xmlns="http://schemas.openxmlformats.org/officeDocument/2006/custom-properties" xmlns:vt="http://schemas.openxmlformats.org/officeDocument/2006/docPropsVTypes"/>
</file>