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Pharmacy</w:t>
      </w:r>
      <w:r>
        <w:t xml:space="preserve"> </w:t>
      </w:r>
      <w:r>
        <w:t xml:space="preserve">Sales</w:t>
      </w:r>
      <w:r>
        <w:t xml:space="preserve"> </w:t>
      </w:r>
      <w:r>
        <w:t xml:space="preserve">Performance</w:t>
      </w:r>
      <w:r>
        <w:t xml:space="preserve"> </w:t>
      </w:r>
      <w:r>
        <w:t xml:space="preserve">Report:</w:t>
      </w:r>
      <w:r>
        <w:t xml:space="preserve"> </w:t>
      </w:r>
      <w:r>
        <w:t xml:space="preserve">Kuala</w:t>
      </w:r>
      <w:r>
        <w:t xml:space="preserve"> </w:t>
      </w:r>
      <w:r>
        <w:t xml:space="preserve">Lumpur</w:t>
      </w:r>
      <w:r>
        <w:t xml:space="preserve"> </w:t>
      </w:r>
      <w:r>
        <w:t xml:space="preserve">Malaysia</w:t>
      </w:r>
    </w:p>
    <w:bookmarkStart w:id="27" w:name="X77fb4a5cf6455c156c721e6abbfcf81aa3419e1"/>
    <w:p>
      <w:pPr>
        <w:pStyle w:val="Heading1"/>
      </w:pPr>
      <w:r>
        <w:t xml:space="preserve">Monthly Sales Performance Report: Pharmacy Operations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Team</w:t>
      </w:r>
      <w:r>
        <w:br/>
      </w:r>
      <w:r>
        <w:rPr>
          <w:bCs/>
          <w:b/>
        </w:rPr>
        <w:t xml:space="preserve">Pharmacy Location:</w:t>
      </w:r>
      <w:r>
        <w:t xml:space="preserve"> </w:t>
      </w:r>
      <w:r>
        <w:t xml:space="preserve">Central Pharmacy KL (Jalan Bukit Bintang Branch)</w:t>
      </w:r>
      <w:r>
        <w:br/>
      </w:r>
      <w:r>
        <w:rPr>
          <w:bCs/>
          <w:b/>
        </w:rPr>
        <w:t xml:space="preserve">Coverage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pharmacy in Malaysia Kuala Lumpur during September 2023. As a critical healthcare provider in the heart of KL's most densely populated commercial district, Central Pharmacy KL delivered strong sales growth (+14.7% YoY) despite regional economic headwinds. The Pharmacist-led team achieved exceptional customer retention (89%) and expanded market share through targeted health education initiatives, reinforcing our position as a trusted healthcare partner in the Malaysian capital.</w:t>
      </w:r>
    </w:p>
    <w:bookmarkEnd w:id="20"/>
    <w:bookmarkStart w:id="21" w:name="ii.-sales-performance-overview"/>
    <w:p>
      <w:pPr>
        <w:pStyle w:val="Heading2"/>
      </w:pPr>
      <w:r>
        <w:t xml:space="preserve">II. Sales Performance Overview</w:t>
      </w:r>
    </w:p>
    <w:p>
      <w:pPr>
        <w:pStyle w:val="FirstParagraph"/>
      </w:pPr>
      <w:r>
        <w:t xml:space="preserve">The September 2023 performance marks the second consecutive month of double-digit growth for our Kuala Lumpur operations, with total sales reaching RM 487,500 compared to RM 425,100 in August. This surge is attributed to strategic inventory management and targeted promotions aligned with seasonal health needs in Malaysia's urban centers. Key highlights include:</w:t>
      </w:r>
    </w:p>
    <w:p>
      <w:pPr>
        <w:numPr>
          <w:ilvl w:val="0"/>
          <w:numId w:val="1001"/>
        </w:numPr>
        <w:pStyle w:val="Compact"/>
      </w:pPr>
      <w:r>
        <w:rPr>
          <w:bCs/>
          <w:b/>
        </w:rPr>
        <w:t xml:space="preserve">Prescription Sales:</w:t>
      </w:r>
      <w:r>
        <w:t xml:space="preserve"> </w:t>
      </w:r>
      <w:r>
        <w:t xml:space="preserve">RM 218,300 (44.8% of total) - +17.2% vs August</w:t>
      </w:r>
    </w:p>
    <w:p>
      <w:pPr>
        <w:numPr>
          <w:ilvl w:val="0"/>
          <w:numId w:val="1001"/>
        </w:numPr>
        <w:pStyle w:val="Compact"/>
      </w:pPr>
      <w:r>
        <w:rPr>
          <w:bCs/>
          <w:b/>
        </w:rPr>
        <w:t xml:space="preserve">Otc &amp; Wellness Products:</w:t>
      </w:r>
      <w:r>
        <w:t xml:space="preserve"> </w:t>
      </w:r>
      <w:r>
        <w:t xml:space="preserve">RM 209,600 (43.0%) - +12.5% vs August</w:t>
      </w:r>
    </w:p>
    <w:p>
      <w:pPr>
        <w:numPr>
          <w:ilvl w:val="0"/>
          <w:numId w:val="1001"/>
        </w:numPr>
        <w:pStyle w:val="Compact"/>
      </w:pPr>
      <w:r>
        <w:rPr>
          <w:bCs/>
          <w:b/>
        </w:rPr>
        <w:t xml:space="preserve">Personal Care &amp; Cosmetics:</w:t>
      </w:r>
      <w:r>
        <w:t xml:space="preserve"> </w:t>
      </w:r>
      <w:r>
        <w:t xml:space="preserve">RM 59,600 (12.2%) - +8.7% vs August</w:t>
      </w:r>
    </w:p>
    <w:p>
      <w:pPr>
        <w:pStyle w:val="FirstParagraph"/>
      </w:pPr>
      <w:r>
        <w:t xml:space="preserve">The Pharmacist's role in clinical consultations directly contributed to a 23% increase in prescription retention rate. In Malaysia Kuala Lumpur's competitive pharmacy landscape, our team's focus on personalized patient care has become a significant differentiator, particularly during the peak dengue season and monsoon period when health concerns spike.</w:t>
      </w:r>
    </w:p>
    <w:bookmarkEnd w:id="21"/>
    <w:bookmarkStart w:id="22" w:name="X306cd0447c006e27a2efe0ecc2239dcac671715"/>
    <w:p>
      <w:pPr>
        <w:pStyle w:val="Heading2"/>
      </w:pPr>
      <w:r>
        <w:t xml:space="preserve">III. Product Category Analysis: Kuala Lumpur Market Insights</w:t>
      </w:r>
    </w:p>
    <w:p>
      <w:pPr>
        <w:pStyle w:val="FirstParagraph"/>
      </w:pPr>
      <w:r>
        <w:t xml:space="preserve">Product Category</w:t>
      </w:r>
    </w:p>
    <w:p>
      <w:pPr>
        <w:pStyle w:val="BodyText"/>
      </w:pPr>
      <w:r>
        <w:t xml:space="preserve">Sales (RM)</w:t>
      </w:r>
    </w:p>
    <w:p>
      <w:pPr>
        <w:pStyle w:val="BodyText"/>
      </w:pPr>
      <w:r>
        <w:t xml:space="preserve">% Change MoM</w:t>
      </w:r>
    </w:p>
    <w:p>
      <w:pPr>
        <w:pStyle w:val="BodyText"/>
      </w:pPr>
      <w:r>
        <w:t xml:space="preserve">Key Driver in KL Market</w:t>
      </w:r>
    </w:p>
    <w:p>
      <w:pPr>
        <w:pStyle w:val="BodyText"/>
      </w:pPr>
      <w:r>
        <w:t xml:space="preserve">Antibiotics &amp; Cold Remedies</w:t>
      </w:r>
    </w:p>
    <w:p>
      <w:pPr>
        <w:pStyle w:val="BodyText"/>
      </w:pPr>
      <w:r>
        <w:t xml:space="preserve">112,400</w:t>
      </w:r>
    </w:p>
    <w:p>
      <w:pPr>
        <w:pStyle w:val="BodyText"/>
      </w:pPr>
      <w:r>
        <w:t xml:space="preserve">+28.6%</w:t>
      </w:r>
    </w:p>
    <w:p>
      <w:pPr>
        <w:pStyle w:val="BodyText"/>
      </w:pPr>
      <w:r>
        <w:t xml:space="preserve">Dengue season spikes (KL recorded 3,852 cases in September)</w:t>
      </w:r>
    </w:p>
    <w:p>
      <w:pPr>
        <w:pStyle w:val="BodyText"/>
      </w:pPr>
      <w:r>
        <w:t xml:space="preserve">Diabetes Management Kits</w:t>
      </w:r>
    </w:p>
    <w:p>
      <w:pPr>
        <w:pStyle w:val="BodyText"/>
      </w:pPr>
      <w:r>
        <w:t xml:space="preserve">78,900</w:t>
      </w:r>
    </w:p>
    <w:p>
      <w:pPr>
        <w:pStyle w:val="BodyText"/>
      </w:pPr>
      <w:r>
        <w:t xml:space="preserve">+14.2%</w:t>
      </w:r>
    </w:p>
    <w:p>
      <w:pPr>
        <w:pStyle w:val="BodyText"/>
      </w:pPr>
      <w:r>
        <w:t xml:space="preserve">Rising prevalence of diabetes in KL urban population (25.3%)</w:t>
      </w:r>
    </w:p>
    <w:p>
      <w:pPr>
        <w:pStyle w:val="BodyText"/>
      </w:pPr>
      <w:r>
        <w:t xml:space="preserve">Vitamins &amp; Supplements</w:t>
      </w:r>
    </w:p>
    <w:p>
      <w:pPr>
        <w:pStyle w:val="BodyText"/>
      </w:pPr>
      <w:r>
        <w:t xml:space="preserve">67,800</w:t>
      </w:r>
    </w:p>
    <w:p>
      <w:pPr>
        <w:pStyle w:val="BodyText"/>
      </w:pPr>
      <w:r>
        <w:t xml:space="preserve">Women's Health Products</w:t>
      </w:r>
    </w:p>
    <w:p>
      <w:pPr>
        <w:pStyle w:val="BodyText"/>
      </w:pPr>
      <w:r>
        <w:t xml:space="preserve">54,300</w:t>
      </w:r>
    </w:p>
    <w:p>
      <w:pPr>
        <w:pStyle w:val="BodyText"/>
      </w:pPr>
      <w:r>
        <w:t xml:space="preserve">+19.8%</w:t>
      </w:r>
    </w:p>
    <w:p>
      <w:pPr>
        <w:pStyle w:val="BodyText"/>
      </w:pPr>
      <w:r>
        <w:rPr>
          <w:bCs/>
          <w:b/>
        </w:rPr>
        <w:t xml:space="preserve">Rural-to-Urban Migration &amp; Health Consciousness in KL</w:t>
      </w:r>
    </w:p>
    <w:p>
      <w:pPr>
        <w:pStyle w:val="BodyText"/>
      </w:pPr>
      <w:r>
        <w:t xml:space="preserve">The Pharmacist team's proactive stock management of dengue-related products (e.g., paracetamol, rehydration salts) prevented shortages during peak season. Notably, our vitamin C and elderberry supplement range saw a 32% surge after the Pharmacist initiated "Immunity Boost" workshops for KL office workers – a program now replicated across 7 KL branches.</w:t>
      </w:r>
    </w:p>
    <w:bookmarkEnd w:id="22"/>
    <w:bookmarkStart w:id="23" w:name="X32dcbea3a7bb0a00ce43358a1a8ab5a69cc1fb9"/>
    <w:p>
      <w:pPr>
        <w:pStyle w:val="Heading2"/>
      </w:pPr>
      <w:r>
        <w:t xml:space="preserve">IV. Customer Engagement &amp; Pharmacist Impact</w:t>
      </w:r>
    </w:p>
    <w:p>
      <w:pPr>
        <w:pStyle w:val="FirstParagraph"/>
      </w:pPr>
      <w:r>
        <w:t xml:space="preserve">In Malaysia Kuala Lumpur, where pharmacy accessibility is critical, our Pharmacist-driven initiatives have transformed customer experience. Key metrics include:</w:t>
      </w:r>
    </w:p>
    <w:p>
      <w:pPr>
        <w:numPr>
          <w:ilvl w:val="0"/>
          <w:numId w:val="1002"/>
        </w:numPr>
        <w:pStyle w:val="Compact"/>
      </w:pPr>
      <w:r>
        <w:rPr>
          <w:bCs/>
          <w:b/>
        </w:rPr>
        <w:t xml:space="preserve">Consultation Rate:</w:t>
      </w:r>
      <w:r>
        <w:t xml:space="preserve"> </w:t>
      </w:r>
      <w:r>
        <w:t xml:space="preserve">42% of customers received clinical consultations (vs industry avg: 18%)</w:t>
      </w:r>
    </w:p>
    <w:p>
      <w:pPr>
        <w:numPr>
          <w:ilvl w:val="0"/>
          <w:numId w:val="1002"/>
        </w:numPr>
        <w:pStyle w:val="Compact"/>
      </w:pPr>
      <w:r>
        <w:rPr>
          <w:bCs/>
          <w:b/>
        </w:rPr>
        <w:t xml:space="preserve">Loyalty Program Sign-ups:</w:t>
      </w:r>
      <w:r>
        <w:t xml:space="preserve"> </w:t>
      </w:r>
      <w:r>
        <w:t xml:space="preserve">1,285 new members (+37% MoM)</w:t>
      </w:r>
    </w:p>
    <w:p>
      <w:pPr>
        <w:numPr>
          <w:ilvl w:val="0"/>
          <w:numId w:val="1002"/>
        </w:numPr>
        <w:pStyle w:val="Compact"/>
      </w:pPr>
      <w:r>
        <w:rPr>
          <w:bCs/>
          <w:b/>
        </w:rPr>
        <w:t xml:space="preserve">Satisfaction Score:</w:t>
      </w:r>
      <w:r>
        <w:t xml:space="preserve"> </w:t>
      </w:r>
      <w:r>
        <w:t xml:space="preserve">4.8/5 (based on post-visit surveys)</w:t>
      </w:r>
    </w:p>
    <w:p>
      <w:pPr>
        <w:pStyle w:val="FirstParagraph"/>
      </w:pPr>
      <w:r>
        <w:t xml:space="preserve">The Pharmacist's health screening services (blood pressure, glucose checks) generated RM 21,500 in additional service revenue while building trust. During September, the team conducted 197 wellness seminars at KL business parks – a strategic move targeting Malaysia's growing corporate health sector.</w:t>
      </w:r>
    </w:p>
    <w:bookmarkEnd w:id="23"/>
    <w:bookmarkStart w:id="24" w:name="v.-challenges-in-kuala-lumpur-market"/>
    <w:p>
      <w:pPr>
        <w:pStyle w:val="Heading2"/>
      </w:pPr>
      <w:r>
        <w:t xml:space="preserve">V. Challenges in Kuala Lumpur Market</w:t>
      </w:r>
    </w:p>
    <w:p>
      <w:pPr>
        <w:pStyle w:val="FirstParagraph"/>
      </w:pPr>
      <w:r>
        <w:t xml:space="preserve">Despite strong performance, our Sales Report identifies two critical challenges specific to pharmacy operations in Malaysia Kuala Lumpur:</w:t>
      </w:r>
    </w:p>
    <w:p>
      <w:pPr>
        <w:numPr>
          <w:ilvl w:val="0"/>
          <w:numId w:val="1003"/>
        </w:numPr>
        <w:pStyle w:val="Compact"/>
      </w:pPr>
      <w:r>
        <w:rPr>
          <w:bCs/>
          <w:b/>
        </w:rPr>
        <w:t xml:space="preserve">Regulatory Compliance Pressure:</w:t>
      </w:r>
      <w:r>
        <w:t xml:space="preserve"> </w:t>
      </w:r>
      <w:r>
        <w:t xml:space="preserve">New MOH guidelines (effective July 2023) require Pharmacist-led patient counseling for all chronic disease medications. While improving care quality, this increased consultation time by 15 minutes per patient – requiring strategic staff scheduling adjustments.</w:t>
      </w:r>
    </w:p>
    <w:p>
      <w:pPr>
        <w:numPr>
          <w:ilvl w:val="0"/>
          <w:numId w:val="1003"/>
        </w:numPr>
        <w:pStyle w:val="Compact"/>
      </w:pPr>
      <w:r>
        <w:rPr>
          <w:bCs/>
          <w:b/>
        </w:rPr>
        <w:t xml:space="preserve">Competition from E-pharmacies:</w:t>
      </w:r>
      <w:r>
        <w:t xml:space="preserve"> </w:t>
      </w:r>
      <w:r>
        <w:t xml:space="preserve">Kuala Lumpur's digital health platform penetration reached 38% in Q3 (vs 29% in Q2). We countered with our "KL Home Delivery" service (free for orders &gt;RM100), capturing 14.6% of online sales within the first month.</w:t>
      </w:r>
    </w:p>
    <w:bookmarkEnd w:id="24"/>
    <w:bookmarkStart w:id="25" w:name="vi.-strategic-recommendations"/>
    <w:p>
      <w:pPr>
        <w:pStyle w:val="Heading2"/>
      </w:pPr>
      <w:r>
        <w:t xml:space="preserve">VI. Strategic Recommendations</w:t>
      </w:r>
    </w:p>
    <w:p>
      <w:pPr>
        <w:pStyle w:val="FirstParagraph"/>
      </w:pPr>
      <w:r>
        <w:t xml:space="preserve">Based on this Sales Report, we propose three priority actions for pharmacy management in Malaysia Kuala Lumpur:</w:t>
      </w:r>
    </w:p>
    <w:p>
      <w:pPr>
        <w:numPr>
          <w:ilvl w:val="0"/>
          <w:numId w:val="1004"/>
        </w:numPr>
        <w:pStyle w:val="Compact"/>
      </w:pPr>
      <w:r>
        <w:rPr>
          <w:bCs/>
          <w:b/>
        </w:rPr>
        <w:t xml:space="preserve">Expand Pharmacist-Led Chronic Care Programs:</w:t>
      </w:r>
      <w:r>
        <w:t xml:space="preserve"> </w:t>
      </w:r>
      <w:r>
        <w:t xml:space="preserve">Develop tailored packages for diabetes/hypertension patients – leveraging the Pharmacist's clinical expertise to increase retention in KL's aging urban population.</w:t>
      </w:r>
    </w:p>
    <w:p>
      <w:pPr>
        <w:numPr>
          <w:ilvl w:val="0"/>
          <w:numId w:val="1004"/>
        </w:numPr>
        <w:pStyle w:val="Compact"/>
      </w:pPr>
      <w:r>
        <w:rPr>
          <w:bCs/>
          <w:b/>
        </w:rPr>
        <w:t xml:space="preserve">Optimize E-commerce Integration:</w:t>
      </w:r>
      <w:r>
        <w:t xml:space="preserve"> </w:t>
      </w:r>
      <w:r>
        <w:t xml:space="preserve">Enhance our mobile app with "Same-Day Pharmacy Delivery" feature targeting KL's 6.5M residents within 5km radius (projected 22% sales growth).</w:t>
      </w:r>
    </w:p>
    <w:p>
      <w:pPr>
        <w:numPr>
          <w:ilvl w:val="0"/>
          <w:numId w:val="1004"/>
        </w:numPr>
        <w:pStyle w:val="Compact"/>
      </w:pPr>
      <w:r>
        <w:rPr>
          <w:bCs/>
          <w:b/>
        </w:rPr>
        <w:t xml:space="preserve">Localize Wellness Offerings:</w:t>
      </w:r>
      <w:r>
        <w:t xml:space="preserve"> </w:t>
      </w:r>
      <w:r>
        <w:t xml:space="preserve">Introduce "KL Healthy Living" product bundles featuring locally sourced herbal remedies (e.g., Tongkat Ali, Noni) in response to growing demand for traditional Malaysian health solutions.</w:t>
      </w:r>
    </w:p>
    <w:bookmarkEnd w:id="25"/>
    <w:bookmarkStart w:id="26" w:name="X3d9c98807a58b077a321748ce08ba24ddb06890"/>
    <w:p>
      <w:pPr>
        <w:pStyle w:val="Heading2"/>
      </w:pPr>
      <w:r>
        <w:t xml:space="preserve">VII. Conclusion: The Pharmacist as Healthcare Catalyst</w:t>
      </w:r>
    </w:p>
    <w:p>
      <w:pPr>
        <w:pStyle w:val="FirstParagraph"/>
      </w:pPr>
      <w:r>
        <w:t xml:space="preserve">This Sales Report confirms that the Pharmacist is no longer merely a product dispenser but the central healthcare catalyst in Malaysia Kuala Lumpur's evolving pharmacy model. Our September performance demonstrates how clinical expertise directly drives sales growth, customer loyalty, and community health outcomes – particularly vital in KL's dense urban environment where 73% of residents live within 1km of a pharmacy.</w:t>
      </w:r>
    </w:p>
    <w:p>
      <w:pPr>
        <w:pStyle w:val="BodyText"/>
      </w:pPr>
      <w:r>
        <w:t xml:space="preserve">As we move into the holiday season, we'll double down on Pharmacist-led initiatives: extending consultation hours to accommodate KL's evening shoppers and launching "Back-to-School Wellness Kits" for parents. With the Pharmacist's clinical insights now embedded in our sales strategy, Central Pharmacy KL is positioned not just to meet but exceed Malaysia's growing healthcare expectations – proving that in Kuala Lumpur, pharmacy excellence is measured in both revenue and restored health.</w:t>
      </w:r>
    </w:p>
    <w:p>
      <w:pPr>
        <w:pStyle w:val="BodyText"/>
      </w:pPr>
      <w:r>
        <w:rPr>
          <w:bCs/>
          <w:b/>
        </w:rPr>
        <w:t xml:space="preserve">Prepared by:</w:t>
      </w:r>
      <w:r>
        <w:t xml:space="preserve"> </w:t>
      </w:r>
      <w:r>
        <w:t xml:space="preserve">Dr. Amina Rahman, Lead Pharmacist</w:t>
      </w:r>
      <w:r>
        <w:br/>
      </w:r>
      <w:r>
        <w:rPr>
          <w:bCs/>
          <w:b/>
        </w:rPr>
        <w:t xml:space="preserve">Pharmacy Operations Manager</w:t>
      </w:r>
      <w:r>
        <w:br/>
      </w:r>
      <w:r>
        <w:t xml:space="preserve">Central Pharmacy KL - Jalan Bukit Bintang,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Sales Performance Report: Kuala Lumpur Malaysia</dc:title>
  <dc:creator/>
  <dc:language>en</dc:language>
  <cp:keywords/>
  <dcterms:created xsi:type="dcterms:W3CDTF">2026-07-23T22:17:13Z</dcterms:created>
  <dcterms:modified xsi:type="dcterms:W3CDTF">2026-07-23T22:17:13Z</dcterms:modified>
</cp:coreProperties>
</file>

<file path=docProps/custom.xml><?xml version="1.0" encoding="utf-8"?>
<Properties xmlns="http://schemas.openxmlformats.org/officeDocument/2006/custom-properties" xmlns:vt="http://schemas.openxmlformats.org/officeDocument/2006/docPropsVTypes"/>
</file>