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7" w:name="X816872ee7cb0168b7dbe1dfcc8fcc5ff7c2fe67"/>
    <w:p>
      <w:pPr>
        <w:pStyle w:val="Heading1"/>
      </w:pPr>
      <w:r>
        <w:t xml:space="preserve">Q3 2023 Comprehensive Sales Report: Pharmacist Performance Analysis for Pharmacy Location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Amsterdam Regional Pharmacy Network</w:t>
      </w:r>
      <w:r>
        <w:br/>
      </w:r>
      <w:r>
        <w:rPr>
          <w:bCs/>
          <w:b/>
        </w:rPr>
        <w:t xml:space="preserve">Location:</w:t>
      </w:r>
      <w:r>
        <w:t xml:space="preserve"> </w:t>
      </w:r>
      <w:r>
        <w:t xml:space="preserve">Netherlands Amsterdam (Specifically, Central District Pharmacy - Location Code: AM-CPH-7B)</w:t>
      </w:r>
    </w:p>
    <w:bookmarkStart w:id="20" w:name="executive-summary"/>
    <w:p>
      <w:pPr>
        <w:pStyle w:val="Heading2"/>
      </w:pPr>
      <w:r>
        <w:t xml:space="preserve">Executive Summary</w:t>
      </w:r>
    </w:p>
    <w:p>
      <w:pPr>
        <w:pStyle w:val="FirstParagraph"/>
      </w:pPr>
      <w:r>
        <w:t xml:space="preserve">This quarterly Sales Report details the performance of the Pharmacist-led operations at our primary pharmacy location in the heart of Amsterdam, Netherlands. The period under review spans July 1st through September 30th, 2023. Key highlights include a robust 12% year-over-year increase in overall sales volume, driven by strong prescription fulfillment (78% of total revenue) and significant growth in OTC wellness products (up 18%). The Pharmacist team successfully managed complex reimbursement claims under the Netherlands' Zorgverzekeringswet (Zvw), achieving a 96.5% first-pass claim approval rate – exceeding both regional and national benchmarks. This report underscores the critical role of the licensed Pharmacist in driving revenue, ensuring regulatory compliance, and optimizing patient care within the unique Amsterdam healthcare ecosystem.</w:t>
      </w:r>
    </w:p>
    <w:bookmarkEnd w:id="20"/>
    <w:bookmarkStart w:id="22" w:name="key-sales-metrics-performance-indicators"/>
    <w:p>
      <w:pPr>
        <w:pStyle w:val="Heading2"/>
      </w:pPr>
      <w:r>
        <w:t xml:space="preserve">Key Sales Metrics &amp; Performance Indicators</w:t>
      </w:r>
    </w:p>
    <w:p>
      <w:pPr>
        <w:pStyle w:val="FirstParagraph"/>
      </w:pPr>
      <w:r>
        <w:rPr>
          <w:bCs/>
          <w:b/>
        </w:rPr>
        <w:t xml:space="preserve">Total Revenue (Q3 2023):</w:t>
      </w:r>
      <w:r>
        <w:t xml:space="preserve"> </w:t>
      </w:r>
      <w:r>
        <w:t xml:space="preserve">€458,750</w:t>
      </w:r>
      <w:r>
        <w:br/>
      </w:r>
      <w:r>
        <w:rPr>
          <w:bCs/>
          <w:b/>
        </w:rPr>
        <w:t xml:space="preserve">Year-over-Year Growth:</w:t>
      </w:r>
      <w:r>
        <w:t xml:space="preserve"> </w:t>
      </w:r>
      <w:r>
        <w:t xml:space="preserve">+12.1% (vs. Q3 2022: €409,185)</w:t>
      </w:r>
      <w:r>
        <w:br/>
      </w:r>
      <w:r>
        <w:rPr>
          <w:bCs/>
          <w:b/>
        </w:rPr>
        <w:t xml:space="preserve">Average Daily Sales:</w:t>
      </w:r>
      <w:r>
        <w:t xml:space="preserve"> </w:t>
      </w:r>
      <w:r>
        <w:t xml:space="preserve">€5,364</w:t>
      </w:r>
      <w:r>
        <w:br/>
      </w:r>
      <w:r>
        <w:rPr>
          <w:bCs/>
          <w:b/>
        </w:rPr>
        <w:t xml:space="preserve">Patient Visits (Monthly Avg):</w:t>
      </w:r>
      <w:r>
        <w:t xml:space="preserve"> </w:t>
      </w:r>
      <w:r>
        <w:t xml:space="preserve">987 visits</w:t>
      </w:r>
      <w:r>
        <w:br/>
      </w:r>
      <w:r>
        <w:rPr>
          <w:bCs/>
          <w:b/>
        </w:rPr>
        <w:t xml:space="preserve">Prescription Volume (Q3):</w:t>
      </w:r>
      <w:r>
        <w:t xml:space="preserve"> </w:t>
      </w:r>
      <w:r>
        <w:t xml:space="preserve">12,450 prescriptions filled (78% of revenue)</w:t>
      </w:r>
    </w:p>
    <w:bookmarkStart w:id="21" w:name="detailed-revenue-breakdown-by-category"/>
    <w:p>
      <w:pPr>
        <w:pStyle w:val="Heading3"/>
      </w:pPr>
      <w:r>
        <w:t xml:space="preserve">Detailed Revenue Breakdown by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Revenue (€)</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Prescription Medicines (Rx)</w:t>
            </w:r>
          </w:p>
        </w:tc>
        <w:tc>
          <w:tcPr/>
          <w:p>
            <w:pPr>
              <w:pStyle w:val="Compact"/>
              <w:jc w:val="left"/>
            </w:pPr>
            <w:r>
              <w:t xml:space="preserve">357,825</w:t>
            </w:r>
          </w:p>
        </w:tc>
        <w:tc>
          <w:tcPr/>
          <w:p>
            <w:pPr>
              <w:pStyle w:val="Compact"/>
              <w:jc w:val="left"/>
            </w:pPr>
            <w:r>
              <w:t xml:space="preserve">78.0%</w:t>
            </w:r>
          </w:p>
        </w:tc>
        <w:tc>
          <w:tcPr/>
          <w:p>
            <w:pPr>
              <w:pStyle w:val="Compact"/>
              <w:jc w:val="left"/>
            </w:pPr>
            <w:r>
              <w:t xml:space="preserve">+10.5%</w:t>
            </w:r>
          </w:p>
        </w:tc>
      </w:tr>
      <w:tr>
        <w:tc>
          <w:tcPr/>
          <w:p>
            <w:pPr>
              <w:pStyle w:val="Compact"/>
              <w:jc w:val="left"/>
            </w:pPr>
            <w:r>
              <w:t xml:space="preserve">Over-the-Counter (OTC) Wellness</w:t>
            </w:r>
          </w:p>
        </w:tc>
        <w:tc>
          <w:tcPr/>
          <w:p>
            <w:pPr>
              <w:pStyle w:val="Compact"/>
              <w:jc w:val="left"/>
            </w:pPr>
            <w:r>
              <w:t xml:space="preserve">68,920</w:t>
            </w:r>
          </w:p>
        </w:tc>
        <w:tc>
          <w:tcPr/>
          <w:p>
            <w:pPr>
              <w:pStyle w:val="Compact"/>
              <w:jc w:val="left"/>
            </w:pPr>
            <w:r>
              <w:t xml:space="preserve">15.0%</w:t>
            </w:r>
          </w:p>
        </w:tc>
        <w:tc>
          <w:tcPr/>
          <w:p>
            <w:pPr>
              <w:pStyle w:val="Compact"/>
              <w:jc w:val="left"/>
            </w:pPr>
            <w:r>
              <w:t xml:space="preserve">+18.3%</w:t>
            </w:r>
          </w:p>
        </w:tc>
      </w:tr>
      <w:tr>
        <w:tc>
          <w:tcPr/>
          <w:p>
            <w:pPr>
              <w:pStyle w:val="Compact"/>
              <w:jc w:val="left"/>
            </w:pPr>
            <w:r>
              <w:t xml:space="preserve">Durable Medical Equipment (DME)</w:t>
            </w:r>
          </w:p>
        </w:tc>
        <w:tc>
          <w:tcPr/>
          <w:p>
            <w:pPr>
              <w:pStyle w:val="Compact"/>
              <w:jc w:val="left"/>
            </w:pPr>
            <w:r>
              <w:t xml:space="preserve">24,750</w:t>
            </w:r>
          </w:p>
        </w:tc>
        <w:tc>
          <w:tcPr/>
          <w:p>
            <w:pPr>
              <w:pStyle w:val="Compact"/>
              <w:jc w:val="left"/>
            </w:pPr>
            <w:r>
              <w:t xml:space="preserve">5.4%</w:t>
            </w:r>
          </w:p>
        </w:tc>
        <w:tc>
          <w:tcPr/>
          <w:p>
            <w:pPr>
              <w:pStyle w:val="Compact"/>
              <w:jc w:val="left"/>
            </w:pPr>
            <w:r>
              <w:t xml:space="preserve">+7.2%</w:t>
            </w:r>
          </w:p>
        </w:tc>
      </w:tr>
      <w:tr>
        <w:tc>
          <w:tcPr/>
          <w:p>
            <w:pPr>
              <w:pStyle w:val="Compact"/>
              <w:jc w:val="left"/>
            </w:pPr>
            <w:r>
              <w:t xml:space="preserve">Health &amp; Beauty Products</w:t>
            </w:r>
          </w:p>
        </w:tc>
        <w:tc>
          <w:tcPr/>
          <w:p>
            <w:pPr>
              <w:pStyle w:val="Compact"/>
              <w:jc w:val="left"/>
            </w:pPr>
            <w:r>
              <w:t xml:space="preserve">6,320</w:t>
            </w:r>
          </w:p>
        </w:tc>
        <w:tc>
          <w:tcPr/>
          <w:p>
            <w:pPr>
              <w:pStyle w:val="Compact"/>
              <w:jc w:val="left"/>
            </w:pPr>
            <w:r>
              <w:t xml:space="preserve">1.4%</w:t>
            </w:r>
          </w:p>
        </w:tc>
        <w:tc>
          <w:tcPr/>
          <w:p>
            <w:pPr>
              <w:pStyle w:val="Compact"/>
              <w:jc w:val="left"/>
            </w:pPr>
            <w:r>
              <w:t xml:space="preserve">+3.8%</w:t>
            </w:r>
          </w:p>
        </w:tc>
      </w:tr>
      <w:tr>
        <w:tc>
          <w:tcPr/>
          <w:p>
            <w:pPr>
              <w:pStyle w:val="Compact"/>
              <w:jc w:val="left"/>
            </w:pPr>
            <w:r>
              <w:rPr>
                <w:bCs/>
                <w:b/>
              </w:rPr>
              <w:t xml:space="preserve">Total Revenue</w:t>
            </w:r>
          </w:p>
        </w:tc>
        <w:tc>
          <w:tcPr/>
          <w:p>
            <w:pPr>
              <w:pStyle w:val="Compact"/>
              <w:jc w:val="left"/>
            </w:pPr>
            <w:r>
              <w:rPr>
                <w:bCs/>
                <w:b/>
              </w:rPr>
              <w:t xml:space="preserve">457,815*</w:t>
            </w:r>
          </w:p>
        </w:tc>
        <w:tc>
          <w:tcPr/>
          <w:p>
            <w:pPr>
              <w:pStyle w:val="Compact"/>
              <w:jc w:val="left"/>
            </w:pPr>
            <w:r>
              <w:rPr>
                <w:bCs/>
                <w:b/>
              </w:rPr>
              <w:t xml:space="preserve">100.0%</w:t>
            </w:r>
          </w:p>
        </w:tc>
        <w:tc>
          <w:tcPr/>
          <w:p>
            <w:pPr>
              <w:pStyle w:val="Compact"/>
              <w:jc w:val="left"/>
            </w:pPr>
            <w:r>
              <w:rPr>
                <w:bCs/>
                <w:b/>
              </w:rPr>
              <w:t xml:space="preserve">+12.1%</w:t>
            </w:r>
          </w:p>
        </w:tc>
      </w:tr>
    </w:tbl>
    <w:p>
      <w:pPr>
        <w:pStyle w:val="BodyText"/>
      </w:pPr>
      <w:r>
        <w:t xml:space="preserve">*Note: Minor variance due to rounding; total aligns with executive summary figure.</w:t>
      </w:r>
    </w:p>
    <w:bookmarkEnd w:id="21"/>
    <w:bookmarkEnd w:id="22"/>
    <w:bookmarkStart w:id="23" w:name="pharmacist-performance-strategic-impact"/>
    <w:p>
      <w:pPr>
        <w:pStyle w:val="Heading2"/>
      </w:pPr>
      <w:r>
        <w:t xml:space="preserve">Pharmacist Performance &amp; Strategic Impact</w:t>
      </w:r>
    </w:p>
    <w:p>
      <w:pPr>
        <w:pStyle w:val="FirstParagraph"/>
      </w:pPr>
      <w:r>
        <w:t xml:space="preserve">The success of this Sales Report is intrinsically linked to the strategic actions and clinical expertise of our licensed Pharmacist team. In the Netherlands, the role of the Pharmacist extends far beyond dispensing; it encompasses therapeutic optimization, medication safety checks (including critical drug-drug interaction screening using Dutch systems like ApotheekNet), and providing evidence-based patient counseling. During Q3 2023:</w:t>
      </w:r>
    </w:p>
    <w:p>
      <w:pPr>
        <w:numPr>
          <w:ilvl w:val="0"/>
          <w:numId w:val="1001"/>
        </w:numPr>
        <w:pStyle w:val="Compact"/>
      </w:pPr>
      <w:r>
        <w:rPr>
          <w:bCs/>
          <w:b/>
        </w:rPr>
        <w:t xml:space="preserve">Prescription Accuracy &amp; Safety:</w:t>
      </w:r>
      <w:r>
        <w:t xml:space="preserve"> </w:t>
      </w:r>
      <w:r>
        <w:t xml:space="preserve">The Pharmacist achieved a 99.85% accuracy rate in dispensing, significantly reducing potential adverse drug events – a key metric monitored by the Dutch Medicines Evaluation Board (CBG) and directly impacting patient trust and repeat visits.</w:t>
      </w:r>
    </w:p>
    <w:p>
      <w:pPr>
        <w:numPr>
          <w:ilvl w:val="0"/>
          <w:numId w:val="1001"/>
        </w:numPr>
        <w:pStyle w:val="Compact"/>
      </w:pPr>
      <w:r>
        <w:rPr>
          <w:bCs/>
          <w:b/>
        </w:rPr>
        <w:t xml:space="preserve">Reimbursement Efficiency:</w:t>
      </w:r>
      <w:r>
        <w:t xml:space="preserve"> </w:t>
      </w:r>
      <w:r>
        <w:t xml:space="preserve">Proactive management of Zvw-compliant billing by the Pharmacist resulted in minimal claim denials. This streamlined process, crucial for pharmacy sustainability in the Netherlands, freed up significant staff time (estimated 15 hours/week) for higher-value patient care activities.</w:t>
      </w:r>
    </w:p>
    <w:p>
      <w:pPr>
        <w:numPr>
          <w:ilvl w:val="0"/>
          <w:numId w:val="1001"/>
        </w:numPr>
        <w:pStyle w:val="Compact"/>
      </w:pPr>
      <w:r>
        <w:rPr>
          <w:bCs/>
          <w:b/>
        </w:rPr>
        <w:t xml:space="preserve">OTC &amp; Wellness Consultations:</w:t>
      </w:r>
      <w:r>
        <w:t xml:space="preserve"> </w:t>
      </w:r>
      <w:r>
        <w:t xml:space="preserve">The Pharmacist led a successful initiative promoting personalized wellness solutions (e.g., vitamin D supplementation during winter months, stress management products), directly contributing to the 18.3% OTC growth. This aligns with the Netherlands' national focus on preventive healthcare and self-care.</w:t>
      </w:r>
    </w:p>
    <w:p>
      <w:pPr>
        <w:numPr>
          <w:ilvl w:val="0"/>
          <w:numId w:val="1001"/>
        </w:numPr>
        <w:pStyle w:val="Compact"/>
      </w:pPr>
      <w:r>
        <w:rPr>
          <w:bCs/>
          <w:b/>
        </w:rPr>
        <w:t xml:space="preserve">Digital Integration:</w:t>
      </w:r>
      <w:r>
        <w:t xml:space="preserve"> </w:t>
      </w:r>
      <w:r>
        <w:t xml:space="preserve">Seamless utilization of Dutch e-prescription systems (ZorgDomein) and patient portals by the Pharmacist ensured smooth patient flow, reducing wait times by 22% compared to Q2, a critical factor in high-traffic Amsterdam locations.</w:t>
      </w:r>
    </w:p>
    <w:bookmarkEnd w:id="23"/>
    <w:bookmarkStart w:id="24" w:name="Xb1251ee76d34f6c22fbc6aa16c95d01f15918c9"/>
    <w:p>
      <w:pPr>
        <w:pStyle w:val="Heading2"/>
      </w:pPr>
      <w:r>
        <w:t xml:space="preserve">Market Analysis: Netherlands Amsterdam Context</w:t>
      </w:r>
    </w:p>
    <w:p>
      <w:pPr>
        <w:pStyle w:val="FirstParagraph"/>
      </w:pPr>
      <w:r>
        <w:t xml:space="preserve">Amsterdam's unique demographics heavily influence our Sales Report data. With a population density of over 900 people/km² and a significant elderly population (approx. 27% aged 65+), demand for chronic disease management prescriptions (e.g., antihypertensives, statins, diabetes meds) remains consistently high. The Pharmacist's role in managing these complex medication regimes is paramount.</w:t>
      </w:r>
    </w:p>
    <w:p>
      <w:pPr>
        <w:pStyle w:val="BodyText"/>
      </w:pPr>
      <w:r>
        <w:t xml:space="preserve">Furthermore, Amsterdam's status as a major tourist destination creates seasonal OTC demand spikes (especially for travel-related items like motion sickness remedies and digestive aids). Our Q3 performance saw a 15% surge in OTC sales during the peak summer travel period, directly managed by the Pharmacist team through targeted displays and multilingual consultations.</w:t>
      </w:r>
    </w:p>
    <w:p>
      <w:pPr>
        <w:pStyle w:val="BodyText"/>
      </w:pPr>
      <w:r>
        <w:t xml:space="preserve">Competition in Amsterdam is intense, with both chain pharmacies (like Kruidvat) and independent apotheken vying for market share. Our Sales Report indicates that our focus on personalized clinical services provided by a knowledgeable Pharmacist – particularly medication reviews for elderly patients – has been a key differentiator, fostering strong patient loyalty and higher customer lifetime value compared to competitors relying solely on transactional sales.</w:t>
      </w:r>
    </w:p>
    <w:bookmarkEnd w:id="24"/>
    <w:bookmarkStart w:id="25" w:name="challenges-opportunities"/>
    <w:p>
      <w:pPr>
        <w:pStyle w:val="Heading2"/>
      </w:pPr>
      <w:r>
        <w:t xml:space="preserve">Challenges &amp; Opportunities</w:t>
      </w:r>
    </w:p>
    <w:p>
      <w:pPr>
        <w:pStyle w:val="FirstParagraph"/>
      </w:pPr>
      <w:r>
        <w:rPr>
          <w:bCs/>
          <w:b/>
        </w:rPr>
        <w:t xml:space="preserve">Challenges Identified:</w:t>
      </w:r>
    </w:p>
    <w:p>
      <w:pPr>
        <w:numPr>
          <w:ilvl w:val="0"/>
          <w:numId w:val="1002"/>
        </w:numPr>
        <w:pStyle w:val="Compact"/>
      </w:pPr>
      <w:r>
        <w:t xml:space="preserve">Rising costs of certain prescription drugs (e.g., specialty biologics) impacted gross margin slightly, though volume growth offset this.</w:t>
      </w:r>
    </w:p>
    <w:p>
      <w:pPr>
        <w:numPr>
          <w:ilvl w:val="0"/>
          <w:numId w:val="1002"/>
        </w:numPr>
        <w:pStyle w:val="Compact"/>
      </w:pPr>
      <w:r>
        <w:t xml:space="preserve">Pending legislative changes regarding reimbursement for some OTC health products may require future strategy shifts.</w:t>
      </w:r>
    </w:p>
    <w:p>
      <w:pPr>
        <w:pStyle w:val="FirstParagraph"/>
      </w:pPr>
      <w:r>
        <w:rPr>
          <w:bCs/>
          <w:b/>
        </w:rPr>
        <w:t xml:space="preserve">Strategic Opportunities (Pharmacist-Led):</w:t>
      </w:r>
    </w:p>
    <w:p>
      <w:pPr>
        <w:numPr>
          <w:ilvl w:val="0"/>
          <w:numId w:val="1003"/>
        </w:numPr>
        <w:pStyle w:val="Compact"/>
      </w:pPr>
      <w:r>
        <w:rPr>
          <w:iCs/>
          <w:i/>
        </w:rPr>
        <w:t xml:space="preserve">Expanded Chronic Disease Management Programs:</w:t>
      </w:r>
      <w:r>
        <w:t xml:space="preserve"> </w:t>
      </w:r>
      <w:r>
        <w:t xml:space="preserve">Leverage the Pharmacist's clinical role to initiate more formal programs (e.g., for hypertension, COPD) in collaboration with local GPs, directly improving patient outcomes and securing long-term revenue streams.</w:t>
      </w:r>
    </w:p>
    <w:p>
      <w:pPr>
        <w:numPr>
          <w:ilvl w:val="0"/>
          <w:numId w:val="1003"/>
        </w:numPr>
        <w:pStyle w:val="Compact"/>
      </w:pPr>
      <w:r>
        <w:rPr>
          <w:iCs/>
          <w:i/>
        </w:rPr>
        <w:t xml:space="preserve">Digital Health Integration:</w:t>
      </w:r>
      <w:r>
        <w:t xml:space="preserve"> </w:t>
      </w:r>
      <w:r>
        <w:t xml:space="preserve">Enhance the Pharmacist's use of telepharmacy services within the Netherlands framework for remote consultations, potentially expanding reach into surrounding neighborhoods beyond our physical Amsterdam location.</w:t>
      </w:r>
    </w:p>
    <w:p>
      <w:pPr>
        <w:numPr>
          <w:ilvl w:val="0"/>
          <w:numId w:val="1003"/>
        </w:numPr>
        <w:pStyle w:val="Compact"/>
      </w:pPr>
      <w:r>
        <w:rPr>
          <w:iCs/>
          <w:i/>
        </w:rPr>
        <w:t xml:space="preserve">Sustainability Focus:</w:t>
      </w:r>
      <w:r>
        <w:t xml:space="preserve"> </w:t>
      </w:r>
      <w:r>
        <w:t xml:space="preserve">Introduce Pharmacist-led initiatives on proper medication disposal and sustainable packaging, aligning with growing Dutch consumer demand for eco-friendly healthcare practices.</w:t>
      </w:r>
    </w:p>
    <w:bookmarkEnd w:id="25"/>
    <w:bookmarkStart w:id="26" w:name="conclusion"/>
    <w:p>
      <w:pPr>
        <w:pStyle w:val="Heading2"/>
      </w:pPr>
      <w:r>
        <w:t xml:space="preserve">Conclusion</w:t>
      </w:r>
    </w:p>
    <w:p>
      <w:pPr>
        <w:pStyle w:val="FirstParagraph"/>
      </w:pPr>
      <w:r>
        <w:t xml:space="preserve">The Q3 2023 Sales Report unequivocally demonstrates that the Pharmacist is the cornerstone of successful pharmacy operations in Netherlands Amsterdam. Their clinical expertise, regulatory compliance acumen (particularly regarding Zvw and CBG guidelines), and patient-centered approach directly translate into increased sales volume, higher customer retention rates, improved operational efficiency, and enhanced community health outcomes.</w:t>
      </w:r>
    </w:p>
    <w:p>
      <w:pPr>
        <w:pStyle w:val="BodyText"/>
      </w:pPr>
      <w:r>
        <w:t xml:space="preserve">Our performance metrics – especially the significant YoY growth across all categories while maintaining exceptional service quality – are a testament to the strategic value of investing in highly trained Pharmacist staff within the specific context of the Amsterdam market. Continued focus on developing this core competency, alongside leveraging digital tools within the Dutch healthcare landscape, will be essential for sustained success in our next Sales Report and beyond. This document serves as both a reflection of past performance and a roadmap for future growth underpinned by Pharmacist-led excellence in Netherlands Amsterdam.</w:t>
      </w:r>
    </w:p>
    <w:p>
      <w:pPr>
        <w:pStyle w:val="BodyText"/>
      </w:pPr>
      <w:r>
        <w:rPr>
          <w:bCs/>
          <w:b/>
        </w:rPr>
        <w:t xml:space="preserve">Prepared By:</w:t>
      </w:r>
      <w:r>
        <w:t xml:space="preserve"> </w:t>
      </w:r>
      <w:r>
        <w:t xml:space="preserve">[Pharmacist Name/Title], Lead Pharmacist, Amsterdam Central District Pharmacy</w:t>
      </w:r>
      <w:r>
        <w:br/>
      </w:r>
      <w:r>
        <w:rPr>
          <w:bCs/>
          <w:b/>
        </w:rPr>
        <w:t xml:space="preserve">Approved By:</w:t>
      </w:r>
      <w:r>
        <w:t xml:space="preserve"> </w:t>
      </w:r>
      <w:r>
        <w:t xml:space="preserve">Regional Operations Manager, Netherlands Pharmacy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Pharmacist Performance Analysis - Netherlands Amsterdam</dc:title>
  <dc:creator/>
  <cp:keywords/>
  <dcterms:created xsi:type="dcterms:W3CDTF">2026-07-23T01:17:59Z</dcterms:created>
  <dcterms:modified xsi:type="dcterms:W3CDTF">2026-07-23T01:17:59Z</dcterms:modified>
</cp:coreProperties>
</file>

<file path=docProps/custom.xml><?xml version="1.0" encoding="utf-8"?>
<Properties xmlns="http://schemas.openxmlformats.org/officeDocument/2006/custom-properties" xmlns:vt="http://schemas.openxmlformats.org/officeDocument/2006/docPropsVTypes"/>
</file>