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0" w:name="Xdc66c3f05059d6c64196580b9b85db18b775660"/>
    <w:p>
      <w:pPr>
        <w:pStyle w:val="Heading1"/>
      </w:pPr>
      <w:r>
        <w:t xml:space="preserve">PHARMACIST SALES REPORT: NEW ZEALAND AUCKLAND REGION</w:t>
      </w:r>
    </w:p>
    <w:p>
      <w:pPr>
        <w:pStyle w:val="FirstParagraph"/>
      </w:pPr>
      <w:r>
        <w:t xml:space="preserve">Quarterly Performance Analysis | Q3 2023 (July - September)</w:t>
      </w:r>
    </w:p>
    <w:p>
      <w:pPr>
        <w:pStyle w:val="BodyText"/>
      </w:pPr>
      <w:r>
        <w:t xml:space="preserve">Prepared for Auckland Pharmacy Network Leadership Team</w:t>
      </w:r>
    </w:p>
    <w:bookmarkEnd w:id="20"/>
    <w:bookmarkStart w:id="21" w:name="executive-summary"/>
    <w:p>
      <w:pPr>
        <w:pStyle w:val="Heading2"/>
      </w:pPr>
      <w:r>
        <w:t xml:space="preserve">Executive Summary</w:t>
      </w:r>
    </w:p>
    <w:p>
      <w:pPr>
        <w:pStyle w:val="FirstParagraph"/>
      </w:pPr>
      <w:r>
        <w:t xml:space="preserve">This comprehensive Sales Report details the operational and commercial performance of our Pharmacist-led retail network across New Zealand Auckland during Q3 2023. As the leading community pharmacy provider serving over 150,000 residents in Auckland's diverse suburbs, our focus remains on delivering exceptional patient care while driving sustainable revenue growth. The quarter demonstrated resilient performance despite regional healthcare sector challenges, with total sales reaching $4.8M (a 6.2% increase YoY). Crucially, this growth was achieved through strategic pharmacist-led service expansion rather than volume-driven product sales alone, aligning perfectly with New Zealand's Primary Health Care Strategy.</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Sales Revenue (NZD)</w:t>
            </w:r>
          </w:p>
        </w:tc>
        <w:tc>
          <w:tcPr/>
          <w:p>
            <w:pPr>
              <w:pStyle w:val="Compact"/>
              <w:jc w:val="left"/>
            </w:pPr>
            <w:r>
              <w:t xml:space="preserve">$4,815,700</w:t>
            </w:r>
          </w:p>
        </w:tc>
        <w:tc>
          <w:tcPr/>
          <w:p>
            <w:pPr>
              <w:pStyle w:val="Compact"/>
              <w:jc w:val="left"/>
            </w:pPr>
            <w:r>
              <w:t xml:space="preserve">$4,533,900</w:t>
            </w:r>
          </w:p>
        </w:tc>
        <w:tc>
          <w:tcPr/>
          <w:p>
            <w:pPr>
              <w:pStyle w:val="Compact"/>
              <w:jc w:val="left"/>
            </w:pPr>
            <w:r>
              <w:t xml:space="preserve">+6.2%</w:t>
            </w:r>
          </w:p>
        </w:tc>
      </w:tr>
      <w:tr>
        <w:tc>
          <w:tcPr/>
          <w:p>
            <w:pPr>
              <w:pStyle w:val="Compact"/>
              <w:jc w:val="left"/>
            </w:pPr>
            <w:r>
              <w:t xml:space="preserve">Avg. Transaction Value</w:t>
            </w:r>
          </w:p>
        </w:tc>
        <w:tc>
          <w:tcPr/>
          <w:p>
            <w:pPr>
              <w:pStyle w:val="Compact"/>
              <w:jc w:val="left"/>
            </w:pPr>
            <w:r>
              <w:t xml:space="preserve">$42.85</w:t>
            </w:r>
          </w:p>
        </w:tc>
        <w:tc>
          <w:tcPr/>
          <w:p>
            <w:pPr>
              <w:pStyle w:val="Compact"/>
              <w:jc w:val="left"/>
            </w:pPr>
            <w:r>
              <w:t xml:space="preserve">$41.70</w:t>
            </w:r>
          </w:p>
        </w:tc>
        <w:tc>
          <w:tcPr/>
          <w:p>
            <w:pPr>
              <w:pStyle w:val="Compact"/>
              <w:jc w:val="left"/>
            </w:pPr>
            <w:r>
              <w:t xml:space="preserve">+2.7%</w:t>
            </w:r>
          </w:p>
        </w:tc>
      </w:tr>
      <w:tr>
        <w:tc>
          <w:tcPr/>
          <w:p>
            <w:pPr>
              <w:pStyle w:val="Compact"/>
              <w:jc w:val="left"/>
            </w:pPr>
            <w:r>
              <w:t xml:space="preserve">Pharmacist Consultation Rate</w:t>
            </w:r>
          </w:p>
        </w:tc>
        <w:tc>
          <w:tcPr/>
          <w:p>
            <w:pPr>
              <w:pStyle w:val="Compact"/>
              <w:jc w:val="left"/>
            </w:pPr>
            <w:r>
              <w:t xml:space="preserve">38% of all transactions</w:t>
            </w:r>
          </w:p>
        </w:tc>
        <w:tc>
          <w:tcPr/>
          <w:p>
            <w:pPr>
              <w:pStyle w:val="Compact"/>
              <w:jc w:val="left"/>
            </w:pPr>
            <w:r>
              <w:t xml:space="preserve">32% of all transactions</w:t>
            </w:r>
          </w:p>
        </w:tc>
        <w:tc>
          <w:tcPr/>
          <w:p>
            <w:pPr>
              <w:pStyle w:val="Compact"/>
              <w:jc w:val="left"/>
            </w:pPr>
            <w:r>
              <w:t xml:space="preserve">+18.8%</w:t>
            </w:r>
          </w:p>
        </w:tc>
      </w:tr>
      <w:tr>
        <w:tc>
          <w:tcPr/>
          <w:p>
            <w:pPr>
              <w:pStyle w:val="Compact"/>
              <w:jc w:val="left"/>
            </w:pPr>
            <w:r>
              <w:t xml:space="preserve">New Customer Acquisition</w:t>
            </w:r>
          </w:p>
        </w:tc>
        <w:tc>
          <w:tcPr/>
          <w:p>
            <w:pPr>
              <w:pStyle w:val="Compact"/>
              <w:jc w:val="left"/>
            </w:pPr>
            <w:r>
              <w:t xml:space="preserve">2,450 new patients</w:t>
            </w:r>
          </w:p>
        </w:tc>
        <w:tc>
          <w:tcPr/>
          <w:p>
            <w:pPr>
              <w:pStyle w:val="Compact"/>
              <w:jc w:val="left"/>
            </w:pPr>
            <w:r>
              <w:t xml:space="preserve">1,980 new patients</w:t>
            </w:r>
          </w:p>
        </w:tc>
        <w:tc>
          <w:tcPr/>
          <w:p>
            <w:pPr>
              <w:pStyle w:val="Compact"/>
              <w:jc w:val="left"/>
            </w:pPr>
            <w:r>
              <w:t xml:space="preserve">+23.7%</w:t>
            </w:r>
          </w:p>
        </w:tc>
      </w:tr>
    </w:tbl>
    <w:p>
      <w:pPr>
        <w:pStyle w:val="BodyText"/>
      </w:pPr>
      <w:r>
        <w:t xml:space="preserve">The 6.2% revenue growth is particularly significant in New Zealand Auckland's competitive pharmacy market, where we've outperformed the national average by 1.8 percentage points. This growth was not merely transactional but reflected our Pharmacist-led service model gaining market share – a strategic shift supported by recent changes to the Pharmaceutical Services Agreement under PHARMAC.</w:t>
      </w:r>
    </w:p>
    <w:bookmarkEnd w:id="22"/>
    <w:bookmarkStart w:id="24" w:name="X3c325be381d4b40b74a3113eb959c1d307c9306"/>
    <w:p>
      <w:pPr>
        <w:pStyle w:val="Heading2"/>
      </w:pPr>
      <w:r>
        <w:t xml:space="preserve">Product Category Analysis: Auckland-Specific Trends</w:t>
      </w:r>
    </w:p>
    <w:p>
      <w:pPr>
        <w:pStyle w:val="FirstParagraph"/>
      </w:pPr>
      <w:r>
        <w:t xml:space="preserve">Our data reveals distinct purchasing patterns influenced by Auckland's unique demographics and health priorities:</w:t>
      </w:r>
    </w:p>
    <w:bookmarkStart w:id="23" w:name="Xa22a86064cc063060e61f034764fdabe2ab1a09"/>
    <w:p>
      <w:pPr>
        <w:pStyle w:val="Heading3"/>
      </w:pPr>
      <w:r>
        <w:t xml:space="preserve">Top 5 Performing Product Categories (Q3 2023)</w:t>
      </w:r>
    </w:p>
    <w:p>
      <w:pPr>
        <w:numPr>
          <w:ilvl w:val="0"/>
          <w:numId w:val="1001"/>
        </w:numPr>
        <w:pStyle w:val="Compact"/>
      </w:pPr>
      <w:r>
        <w:rPr>
          <w:bCs/>
          <w:b/>
        </w:rPr>
        <w:t xml:space="preserve">Chronic Disease Management Kits</w:t>
      </w:r>
      <w:r>
        <w:t xml:space="preserve">: +14.7% YoY (Auckland has highest diabetes prevalence in NZ at 8.9%). Pharmacist-led medication reviews drove this growth.</w:t>
      </w:r>
    </w:p>
    <w:p>
      <w:pPr>
        <w:numPr>
          <w:ilvl w:val="0"/>
          <w:numId w:val="1001"/>
        </w:numPr>
        <w:pStyle w:val="Compact"/>
      </w:pPr>
      <w:r>
        <w:rPr>
          <w:bCs/>
          <w:b/>
        </w:rPr>
        <w:t xml:space="preserve">Over-the-Counter Wellness Products</w:t>
      </w:r>
      <w:r>
        <w:t xml:space="preserve">: +10.2% YoY (Peak demand for probiotics, vitamin D3, and joint supplements due to Auckland's high UV index and indoor lifestyles).</w:t>
      </w:r>
    </w:p>
    <w:p>
      <w:pPr>
        <w:numPr>
          <w:ilvl w:val="0"/>
          <w:numId w:val="1001"/>
        </w:numPr>
        <w:pStyle w:val="Compact"/>
      </w:pPr>
      <w:r>
        <w:rPr>
          <w:bCs/>
          <w:b/>
        </w:rPr>
        <w:t xml:space="preserve">Pediatric Formulations</w:t>
      </w:r>
      <w:r>
        <w:t xml:space="preserve">: +8.9% YoY (Auckland's young family demographics fuel 37% of our pediatric sales).</w:t>
      </w:r>
    </w:p>
    <w:p>
      <w:pPr>
        <w:numPr>
          <w:ilvl w:val="0"/>
          <w:numId w:val="1001"/>
        </w:numPr>
        <w:pStyle w:val="Compact"/>
      </w:pPr>
      <w:r>
        <w:rPr>
          <w:bCs/>
          <w:b/>
        </w:rPr>
        <w:t xml:space="preserve">Travel Health Services</w:t>
      </w:r>
      <w:r>
        <w:t xml:space="preserve">: +22.4% YoY (Auckland's status as NZ's international gateway drives demand for malaria prophylaxis and travel vaccines).</w:t>
      </w:r>
    </w:p>
    <w:p>
      <w:pPr>
        <w:pStyle w:val="FirstParagraph"/>
      </w:pPr>
      <w:r>
        <w:t xml:space="preserve">The standout performer was our "Auckland Health Check" service – a Pharmacist-developed package combining blood pressure monitoring, cholesterol screening, and personalized wellness plans. This initiative captured 28% of new customers in the Auckland region and achieved a 76% repeat visit rate.</w:t>
      </w:r>
    </w:p>
    <w:bookmarkEnd w:id="23"/>
    <w:bookmarkEnd w:id="24"/>
    <w:bookmarkStart w:id="25" w:name="pharmacist-service-impact-analysis"/>
    <w:p>
      <w:pPr>
        <w:pStyle w:val="Heading2"/>
      </w:pPr>
      <w:r>
        <w:t xml:space="preserve">Pharmacist Service Impact Analysis</w:t>
      </w:r>
    </w:p>
    <w:p>
      <w:pPr>
        <w:pStyle w:val="FirstParagraph"/>
      </w:pPr>
      <w:r>
        <w:t xml:space="preserve">Our core differentiator remains the Pharmacist's clinical role. Data shows:</w:t>
      </w:r>
    </w:p>
    <w:p>
      <w:pPr>
        <w:numPr>
          <w:ilvl w:val="0"/>
          <w:numId w:val="1002"/>
        </w:numPr>
        <w:pStyle w:val="Compact"/>
      </w:pPr>
      <w:r>
        <w:rPr>
          <w:bCs/>
          <w:b/>
        </w:rPr>
        <w:t xml:space="preserve">15.3% Reduction in Repeat Prescriptions</w:t>
      </w:r>
      <w:r>
        <w:t xml:space="preserve">: Pharmacists identified 1,840 unnecessary repeat prescriptions during Q3 through therapeutic substitution and medication reviews.</w:t>
      </w:r>
    </w:p>
    <w:p>
      <w:pPr>
        <w:numPr>
          <w:ilvl w:val="0"/>
          <w:numId w:val="1002"/>
        </w:numPr>
        <w:pStyle w:val="Compact"/>
      </w:pPr>
      <w:r>
        <w:rPr>
          <w:bCs/>
          <w:b/>
        </w:rPr>
        <w:t xml:space="preserve">27% Increase in Vaccination Uptake</w:t>
      </w:r>
      <w:r>
        <w:t xml:space="preserve">: Pharmacist-led flu clinics at our Auckland sites (especially in Pakuranga and Manukau) contributed to 68% of the region's vaccine coverage increase.</w:t>
      </w:r>
    </w:p>
    <w:p>
      <w:pPr>
        <w:numPr>
          <w:ilvl w:val="0"/>
          <w:numId w:val="1002"/>
        </w:numPr>
        <w:pStyle w:val="Compact"/>
      </w:pPr>
      <w:r>
        <w:rPr>
          <w:bCs/>
          <w:b/>
        </w:rPr>
        <w:t xml:space="preserve">Customer Satisfaction Score: 94%</w:t>
      </w:r>
      <w:r>
        <w:t xml:space="preserve">: A +5.1% improvement over Q2, directly attributed to Pharmacist consultation quality. Auckland customers specifically praised "understanding my complex health needs" (72% of positive comments).</w:t>
      </w:r>
    </w:p>
    <w:p>
      <w:pPr>
        <w:pStyle w:val="FirstParagraph"/>
      </w:pPr>
      <w:r>
        <w:t xml:space="preserve">"The Pharmacist isn't just dispensing drugs – they're becoming the first point of contact for health concerns," noted Dr. Anika Patel, our Chief Clinical Officer based in Auckland. "In communities like Otahuhu and Howick, we've reduced ER visits for minor conditions by 12% through Pharmacist triage."</w:t>
      </w:r>
    </w:p>
    <w:bookmarkEnd w:id="25"/>
    <w:bookmarkStart w:id="26" w:name="X27aea59403bc1c285a73b35f301277e08ac7e20"/>
    <w:p>
      <w:pPr>
        <w:pStyle w:val="Heading2"/>
      </w:pPr>
      <w:r>
        <w:t xml:space="preserve">Regional Challenges in New Zealand Auckland</w:t>
      </w:r>
    </w:p>
    <w:p>
      <w:pPr>
        <w:pStyle w:val="FirstParagraph"/>
      </w:pPr>
      <w:r>
        <w:t xml:space="preserve">We face specific market dynamics requiring strategic adaptation:</w:t>
      </w:r>
    </w:p>
    <w:p>
      <w:pPr>
        <w:numPr>
          <w:ilvl w:val="0"/>
          <w:numId w:val="1003"/>
        </w:numPr>
        <w:pStyle w:val="Compact"/>
      </w:pPr>
      <w:r>
        <w:rPr>
          <w:bCs/>
          <w:b/>
        </w:rPr>
        <w:t xml:space="preserve">Workforce Shortages</w:t>
      </w:r>
      <w:r>
        <w:t xml:space="preserve">: Auckland's pharmacist vacancy rate is 18.4% (vs national average 14.7%), impacting consultation capacity in South Auckland communities.</w:t>
      </w:r>
    </w:p>
    <w:p>
      <w:pPr>
        <w:numPr>
          <w:ilvl w:val="0"/>
          <w:numId w:val="1003"/>
        </w:numPr>
        <w:pStyle w:val="Compact"/>
      </w:pPr>
      <w:r>
        <w:rPr>
          <w:bCs/>
          <w:b/>
        </w:rPr>
        <w:t xml:space="preserve">Supply Chain Disruptions</w:t>
      </w:r>
      <w:r>
        <w:t xml:space="preserve">: Persistent delays in imported generic medications (particularly insulin and anti-epileptics) affecting our chronic disease management service continuity.</w:t>
      </w:r>
    </w:p>
    <w:p>
      <w:pPr>
        <w:numPr>
          <w:ilvl w:val="0"/>
          <w:numId w:val="1003"/>
        </w:numPr>
        <w:pStyle w:val="Compact"/>
      </w:pPr>
      <w:r>
        <w:rPr>
          <w:bCs/>
          <w:b/>
        </w:rPr>
        <w:t xml:space="preserve">Competitive Pressure</w:t>
      </w:r>
      <w:r>
        <w:t xml:space="preserve">: Supermarket pharmacy chains have increased promotions in North Shore and Albany, but we've countered by emphasizing clinical expertise over price competition.</w:t>
      </w:r>
    </w:p>
    <w:p>
      <w:pPr>
        <w:pStyle w:val="FirstParagraph"/>
      </w:pPr>
      <w:r>
        <w:t xml:space="preserve">Notably, Auckland's diverse population requires culturally tailored services. We've implemented Maori Health Navigator roles at our Tamaki Makau Rau locations and expanded Pasifika health workshops in Manukau – initiatives that drove 41% of new customer acquisition in those communities.</w:t>
      </w:r>
    </w:p>
    <w:bookmarkEnd w:id="26"/>
    <w:bookmarkStart w:id="27" w:name="Xd2c7b982254487276607b28ca76c4f6f3e92119"/>
    <w:p>
      <w:pPr>
        <w:pStyle w:val="Heading2"/>
      </w:pPr>
      <w:r>
        <w:t xml:space="preserve">Strategic Recommendations for New Zealand Auckland</w:t>
      </w:r>
    </w:p>
    <w:p>
      <w:pPr>
        <w:pStyle w:val="FirstParagraph"/>
      </w:pPr>
      <w:r>
        <w:t xml:space="preserve">Based on Q3 performance, we propose three priority actions:</w:t>
      </w:r>
    </w:p>
    <w:p>
      <w:pPr>
        <w:numPr>
          <w:ilvl w:val="0"/>
          <w:numId w:val="1004"/>
        </w:numPr>
        <w:pStyle w:val="Compact"/>
      </w:pPr>
      <w:r>
        <w:rPr>
          <w:bCs/>
          <w:b/>
        </w:rPr>
        <w:t xml:space="preserve">Expand Pharmacist-Only Consultation Hours</w:t>
      </w:r>
      <w:r>
        <w:t xml:space="preserve">: Dedicate 4 additional hours/week per store to pharmacist-only appointments in high-demand suburbs (Pakuranga, Henderson). Projected ROI: $185K annual incremental revenue from service fees and increased product sales.</w:t>
      </w:r>
    </w:p>
    <w:p>
      <w:pPr>
        <w:numPr>
          <w:ilvl w:val="0"/>
          <w:numId w:val="1004"/>
        </w:numPr>
        <w:pStyle w:val="Compact"/>
      </w:pPr>
      <w:r>
        <w:rPr>
          <w:bCs/>
          <w:b/>
        </w:rPr>
        <w:t xml:space="preserve">Develop Auckland-Specific Wellness Bundles</w:t>
      </w:r>
      <w:r>
        <w:t xml:space="preserve">: Create "Auckland Health Packs" combining local health needs (e.g., UV protection, hay fever relief for pollen-rich regions, and travel essentials) to boost average transaction value by 8-10%.</w:t>
      </w:r>
    </w:p>
    <w:p>
      <w:pPr>
        <w:numPr>
          <w:ilvl w:val="0"/>
          <w:numId w:val="1004"/>
        </w:numPr>
        <w:pStyle w:val="Compact"/>
      </w:pPr>
      <w:r>
        <w:rPr>
          <w:bCs/>
          <w:b/>
        </w:rPr>
        <w:t xml:space="preserve">Enhance Digital Integration</w:t>
      </w:r>
      <w:r>
        <w:t xml:space="preserve">: Implement AI-powered medication reminder system tailored for Auckland's public transport patterns. This addresses our top customer request (23% of feedback) while reducing compliance-related repeat visits.</w:t>
      </w:r>
    </w:p>
    <w:p>
      <w:pPr>
        <w:pStyle w:val="FirstParagraph"/>
      </w:pPr>
      <w:r>
        <w:t xml:space="preserve">These recommendations align with the Ministry of Health's "Community Pharmacy Transformation Plan" and will position our Pharmacist-led services as essential healthcare infrastructure in New Zealand Auckland.</w:t>
      </w:r>
    </w:p>
    <w:bookmarkEnd w:id="27"/>
    <w:bookmarkStart w:id="28" w:name="conclusion"/>
    <w:p>
      <w:pPr>
        <w:pStyle w:val="Heading2"/>
      </w:pPr>
      <w:r>
        <w:t xml:space="preserve">Conclusion</w:t>
      </w:r>
    </w:p>
    <w:p>
      <w:pPr>
        <w:pStyle w:val="FirstParagraph"/>
      </w:pPr>
      <w:r>
        <w:t xml:space="preserve">The Q3 Sales Report confirms that in New Zealand Auckland, the Pharmacist is no longer merely a dispenser but the cornerstone of community health management. Our 6.2% sales growth – achieved while increasing clinical service engagement by 18.8% – proves that pharmacist-led models deliver both commercial success and improved population health outcomes.</w:t>
      </w:r>
    </w:p>
    <w:p>
      <w:pPr>
        <w:pStyle w:val="BodyText"/>
      </w:pPr>
      <w:r>
        <w:t xml:space="preserve">As we move into Q4, we must accelerate our investment in Pharmacist capacity within Auckland's most underserved communities (particularly South Auckland) while leveraging our data-driven approach to address the unique health challenges of Aotearoa New Zealand. This Sales Report demonstrates that by centering the Pharmacist as a clinical partner rather than a transactional role, we create sustainable value for both our customers and shareholders – setting a new standard for healthcare delivery across New Zealand Auckland.</w:t>
      </w:r>
    </w:p>
    <w:p>
      <w:pPr>
        <w:pStyle w:val="BodyText"/>
      </w:pPr>
      <w:r>
        <w:rPr>
          <w:bCs/>
          <w:b/>
        </w:rPr>
        <w:t xml:space="preserve">Prepared by: Auckland Pharmacy Network Clinical &amp; Commercial Strategy Team</w:t>
      </w:r>
    </w:p>
    <w:p>
      <w:pPr>
        <w:pStyle w:val="BodyText"/>
      </w:pPr>
      <w:r>
        <w:rPr>
          <w:bCs/>
          <w:b/>
        </w:rPr>
        <w:t xml:space="preserve">Date: October 15, 2023</w:t>
      </w:r>
    </w:p>
    <w:bookmarkEnd w:id="28"/>
    <w:p>
      <w:pPr>
        <w:pStyle w:val="BodyText"/>
      </w:pPr>
      <w:r>
        <w:t xml:space="preserve">This Sales Report complies with New Zealand Pharmaceutical Society guidelines and PHARMAC reporting standards for community pharmacy services in Auckland.</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New Zealand Auckland</dc:title>
  <dc:creator/>
  <dc:language>en</dc:language>
  <cp:keywords/>
  <dcterms:created xsi:type="dcterms:W3CDTF">2026-07-24T09:05:39Z</dcterms:created>
  <dcterms:modified xsi:type="dcterms:W3CDTF">2026-07-24T09:05:39Z</dcterms:modified>
</cp:coreProperties>
</file>

<file path=docProps/custom.xml><?xml version="1.0" encoding="utf-8"?>
<Properties xmlns="http://schemas.openxmlformats.org/officeDocument/2006/custom-properties" xmlns:vt="http://schemas.openxmlformats.org/officeDocument/2006/docPropsVTypes"/>
</file>