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Pharmacist</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6a5f026a0a60e7cc84f3605fb0a51aa761fa64f"/>
    <w:p>
      <w:pPr>
        <w:pStyle w:val="Heading1"/>
      </w:pPr>
      <w:r>
        <w:t xml:space="preserve">Comprehensive Sales Performance Report: Pharmacy Operations in Peru Lima (Q3 2023)</w:t>
      </w:r>
    </w:p>
    <w:bookmarkStart w:id="20" w:name="executive-summary"/>
    <w:p>
      <w:pPr>
        <w:pStyle w:val="Heading2"/>
      </w:pPr>
      <w:r>
        <w:t xml:space="preserve">Executive Summary</w:t>
      </w:r>
    </w:p>
    <w:p>
      <w:pPr>
        <w:pStyle w:val="FirstParagraph"/>
      </w:pPr>
      <w:r>
        <w:t xml:space="preserve">This report details the operational and sales performance of our pharmacy network across Lima, Peru, during the third quarter of 2023. As a leading retail pharmacy chain serving diverse communities from Miraflores to Villa El Salvador, we focus on delivering essential healthcare solutions through certified</w:t>
      </w:r>
      <w:r>
        <w:t xml:space="preserve"> </w:t>
      </w:r>
      <w:r>
        <w:rPr>
          <w:bCs/>
          <w:b/>
        </w:rPr>
        <w:t xml:space="preserve">Pharmacist</w:t>
      </w:r>
      <w:r>
        <w:t xml:space="preserve">-led services. Our strategy emphasizes clinical expertise alongside product accessibility, directly addressing the unique healthcare needs of</w:t>
      </w:r>
      <w:r>
        <w:t xml:space="preserve"> </w:t>
      </w:r>
      <w:r>
        <w:rPr>
          <w:bCs/>
          <w:b/>
        </w:rPr>
        <w:t xml:space="preserve">Peru Lima</w:t>
      </w:r>
      <w:r>
        <w:t xml:space="preserve">'s population. Q3 demonstrated strong growth in key therapeutic categories (+12% YoY), with strategic investments in community health education driving customer loyalty and revenue.</w:t>
      </w:r>
    </w:p>
    <w:bookmarkEnd w:id="20"/>
    <w:bookmarkStart w:id="21" w:name="X33b47342371a8fd28681c70edb85e747653e820"/>
    <w:p>
      <w:pPr>
        <w:pStyle w:val="Heading2"/>
      </w:pPr>
      <w:r>
        <w:t xml:space="preserve">Regional Market Context: Pharmacy Dynamics in Peru Lima</w:t>
      </w:r>
    </w:p>
    <w:p>
      <w:pPr>
        <w:pStyle w:val="FirstParagraph"/>
      </w:pPr>
      <w:r>
        <w:t xml:space="preserve">Lima, Peru's capital and economic hub, houses 30% of the nation's population within its sprawling urban zone. The pharmacy sector here operates under strict SUNAT regulations while navigating complex healthcare access challenges. With 18% of Lima residents covered by SIS (State Health Insurance) and growing out-of-pocket spending for OTC medications, our</w:t>
      </w:r>
      <w:r>
        <w:t xml:space="preserve"> </w:t>
      </w:r>
      <w:r>
        <w:rPr>
          <w:bCs/>
          <w:b/>
        </w:rPr>
        <w:t xml:space="preserve">Pharmacist</w:t>
      </w:r>
      <w:r>
        <w:t xml:space="preserve">-centric model has proven critical. In Q3, we expanded services to three new districts (La Victoria, Comas, Santa Anita), aligning with the Ministry of Health's "Farmacia de Barrio" initiative to improve rural-urban healthcare equity. This geographic expansion directly contributed to a 17% increase in foot traffic compared to Q2.</w:t>
      </w:r>
    </w:p>
    <w:bookmarkEnd w:id="21"/>
    <w:bookmarkStart w:id="22" w:name="Xf16b1e0ab474d4122d7aded02233f4f6e7088e9"/>
    <w:p>
      <w:pPr>
        <w:pStyle w:val="Heading2"/>
      </w:pPr>
      <w:r>
        <w:t xml:space="preserve">Sales Performance Breakdown: Key Therapeutic Categories</w:t>
      </w:r>
    </w:p>
    <w:p>
      <w:pPr>
        <w:pStyle w:val="FirstParagraph"/>
      </w:pPr>
      <w:r>
        <w:t xml:space="preserve">Product Category</w:t>
      </w:r>
    </w:p>
    <w:p>
      <w:pPr>
        <w:pStyle w:val="BodyText"/>
      </w:pPr>
      <w:r>
        <w:t xml:space="preserve">Q3 2023 Sales (PEN)</w:t>
      </w:r>
    </w:p>
    <w:p>
      <w:pPr>
        <w:pStyle w:val="BodyText"/>
      </w:pPr>
      <w:r>
        <w:t xml:space="preserve">% of Total Revenue</w:t>
      </w:r>
    </w:p>
    <w:p>
      <w:pPr>
        <w:pStyle w:val="BodyText"/>
      </w:pPr>
      <w:r>
        <w:t xml:space="preserve">Growth vs. Q3 2022</w:t>
      </w:r>
    </w:p>
    <w:p>
      <w:pPr>
        <w:pStyle w:val="BodyText"/>
      </w:pPr>
      <w:r>
        <w:t xml:space="preserve">Chronic Disease Management (Diabetes, Hypertension)</w:t>
      </w:r>
    </w:p>
    <w:p>
      <w:pPr>
        <w:pStyle w:val="BodyText"/>
      </w:pPr>
      <w:r>
        <w:t xml:space="preserve">S/ 485,000</w:t>
      </w:r>
    </w:p>
    <w:p>
      <w:pPr>
        <w:pStyle w:val="BodyText"/>
      </w:pPr>
      <w:r>
        <w:t xml:space="preserve">38%</w:t>
      </w:r>
    </w:p>
    <w:p>
      <w:pPr>
        <w:pStyle w:val="BodyText"/>
      </w:pPr>
      <w:r>
        <w:t xml:space="preserve">+19%</w:t>
      </w:r>
    </w:p>
    <w:p>
      <w:pPr>
        <w:pStyle w:val="BodyText"/>
      </w:pPr>
      <w:r>
        <w:t xml:space="preserve">Respiratory &amp; Cold Remedies</w:t>
      </w:r>
    </w:p>
    <w:p>
      <w:pPr>
        <w:pStyle w:val="BodyText"/>
      </w:pPr>
      <w:r>
        <w:t xml:space="preserve">S/ 278,500</w:t>
      </w:r>
    </w:p>
    <w:p>
      <w:pPr>
        <w:pStyle w:val="BodyText"/>
      </w:pPr>
      <w:r>
        <w:t xml:space="preserve">22%</w:t>
      </w:r>
    </w:p>
    <w:p>
      <w:pPr>
        <w:pStyle w:val="BodyText"/>
      </w:pPr>
      <w:r>
        <w:t xml:space="preserve">+14%</w:t>
      </w:r>
    </w:p>
    <w:p>
      <w:pPr>
        <w:pStyle w:val="BodyText"/>
      </w:pPr>
      <w:r>
        <w:t xml:space="preserve">Pain Management (Paracetamol, NSAIDs)</w:t>
      </w:r>
    </w:p>
    <w:p>
      <w:pPr>
        <w:pStyle w:val="BodyText"/>
      </w:pPr>
      <w:r>
        <w:t xml:space="preserve">S/ 215,300</w:t>
      </w:r>
    </w:p>
    <w:p>
      <w:pPr>
        <w:pStyle w:val="BodyText"/>
      </w:pPr>
      <w:r>
        <w:t xml:space="preserve">17%</w:t>
      </w:r>
    </w:p>
    <w:p>
      <w:pPr>
        <w:pStyle w:val="BodyText"/>
      </w:pPr>
      <w:r>
        <w:t xml:space="preserve">+9%</w:t>
      </w:r>
    </w:p>
    <w:p>
      <w:pPr>
        <w:pStyle w:val="BodyText"/>
      </w:pPr>
      <w:r>
        <w:t xml:space="preserve">Women's Health &amp; Vitamins</w:t>
      </w:r>
    </w:p>
    <w:p>
      <w:pPr>
        <w:pStyle w:val="BodyText"/>
      </w:pPr>
      <w:r>
        <w:t xml:space="preserve">S/ 142,700</w:t>
      </w:r>
    </w:p>
    <w:p>
      <w:pPr>
        <w:pStyle w:val="BodyText"/>
      </w:pPr>
      <w:r>
        <w:t xml:space="preserve">11%</w:t>
      </w:r>
    </w:p>
    <w:p>
      <w:pPr>
        <w:pStyle w:val="BodyText"/>
      </w:pPr>
      <w:r>
        <w:t xml:space="preserve">+23%</w:t>
      </w:r>
    </w:p>
    <w:p>
      <w:pPr>
        <w:pStyle w:val="BodyText"/>
      </w:pPr>
      <w:r>
        <w:t xml:space="preserve">Dermatology &amp; Wound Care</w:t>
      </w:r>
    </w:p>
    <w:p>
      <w:pPr>
        <w:pStyle w:val="BodyText"/>
      </w:pPr>
      <w:r>
        <w:t xml:space="preserve">S/ 98,500</w:t>
      </w:r>
    </w:p>
    <w:p>
      <w:pPr>
        <w:pStyle w:val="BodyText"/>
      </w:pPr>
      <w:r>
        <w:t xml:space="preserve">8%</w:t>
      </w:r>
    </w:p>
    <w:p>
      <w:pPr>
        <w:pStyle w:val="BodyText"/>
      </w:pPr>
      <w:r>
        <w:t xml:space="preserve">+6%</w:t>
      </w:r>
    </w:p>
    <w:p>
      <w:pPr>
        <w:pStyle w:val="BodyText"/>
      </w:pPr>
      <w:r>
        <w:t xml:space="preserve">The strongest growth (</w:t>
      </w:r>
      <w:r>
        <w:rPr>
          <w:bCs/>
          <w:b/>
        </w:rPr>
        <w:t xml:space="preserve">23% YoY in Women's Health</w:t>
      </w:r>
      <w:r>
        <w:t xml:space="preserve">) reflects increased awareness of preventive care in Lima. Our</w:t>
      </w:r>
      <w:r>
        <w:t xml:space="preserve"> </w:t>
      </w:r>
      <w:r>
        <w:rPr>
          <w:bCs/>
          <w:b/>
        </w:rPr>
        <w:t xml:space="preserve">Pharmacist</w:t>
      </w:r>
      <w:r>
        <w:t xml:space="preserve">s actively promoted prenatal vitamin bundles through partnerships with local clinics, directly boosting sales. The Chronic Disease category's 19% growth is particularly significant – it aligns with Peru's national diabetes prevalence rate (15.4%) and demonstrates our clinical advisory model reducing hospital readmissions.</w:t>
      </w:r>
    </w:p>
    <w:bookmarkEnd w:id="22"/>
    <w:bookmarkStart w:id="23" w:name="pharmacist-driven-service-impact"/>
    <w:p>
      <w:pPr>
        <w:pStyle w:val="Heading2"/>
      </w:pPr>
      <w:r>
        <w:t xml:space="preserve">Pharmacist-Driven Service Impact</w:t>
      </w:r>
    </w:p>
    <w:p>
      <w:pPr>
        <w:pStyle w:val="FirstParagraph"/>
      </w:pPr>
      <w:r>
        <w:t xml:space="preserve">Beyond transactional sales, our</w:t>
      </w:r>
      <w:r>
        <w:t xml:space="preserve"> </w:t>
      </w:r>
      <w:r>
        <w:rPr>
          <w:bCs/>
          <w:b/>
        </w:rPr>
        <w:t xml:space="preserve">Pharmacist</w:t>
      </w:r>
      <w:r>
        <w:t xml:space="preserve">s have become healthcare coordinators in Lima neighborhoods. In Q3, we implemented "Health Check-Up Tuesdays" at 15 locations across the city. During these sessions, certified pharmacists provided free blood pressure screenings (87% participation rate), medication adherence counseling, and chronic disease management plans. This initiative generated:</w:t>
      </w:r>
    </w:p>
    <w:p>
      <w:pPr>
        <w:numPr>
          <w:ilvl w:val="0"/>
          <w:numId w:val="1001"/>
        </w:numPr>
        <w:pStyle w:val="Compact"/>
      </w:pPr>
      <w:r>
        <w:t xml:space="preserve">28% increase in repeat customers for diabetes products</w:t>
      </w:r>
    </w:p>
    <w:p>
      <w:pPr>
        <w:numPr>
          <w:ilvl w:val="0"/>
          <w:numId w:val="1001"/>
        </w:numPr>
        <w:pStyle w:val="Compact"/>
      </w:pPr>
      <w:r>
        <w:t xml:space="preserve">41% rise in referrals from primary care facilities</w:t>
      </w:r>
    </w:p>
    <w:p>
      <w:pPr>
        <w:numPr>
          <w:ilvl w:val="0"/>
          <w:numId w:val="1001"/>
        </w:numPr>
        <w:pStyle w:val="Compact"/>
      </w:pPr>
      <w:r>
        <w:t xml:space="preserve">Positive feedback across 320+ customer surveys (4.7/5 average rating)</w:t>
      </w:r>
    </w:p>
    <w:p>
      <w:pPr>
        <w:pStyle w:val="FirstParagraph"/>
      </w:pPr>
      <w:r>
        <w:t xml:space="preserve">A critical success factor was the integration of Peru's digital health system, SIS-Link. Our pharmacists now securely access patient medication histories through this platform (approved by MINSA), reducing duplication and improving prescription accuracy – a feature highly valued by Lima consumers seeking seamless care.</w:t>
      </w:r>
    </w:p>
    <w:bookmarkEnd w:id="23"/>
    <w:bookmarkStart w:id="24" w:name="market-challenges-in-peru-lima"/>
    <w:p>
      <w:pPr>
        <w:pStyle w:val="Heading2"/>
      </w:pPr>
      <w:r>
        <w:t xml:space="preserve">Market Challenges in Peru Lima</w:t>
      </w:r>
    </w:p>
    <w:p>
      <w:pPr>
        <w:pStyle w:val="FirstParagraph"/>
      </w:pPr>
      <w:r>
        <w:t xml:space="preserve">We encountered significant hurdles unique to the</w:t>
      </w:r>
      <w:r>
        <w:t xml:space="preserve"> </w:t>
      </w:r>
      <w:r>
        <w:rPr>
          <w:bCs/>
          <w:b/>
        </w:rPr>
        <w:t xml:space="preserve">Peru Lima</w:t>
      </w:r>
      <w:r>
        <w:t xml:space="preserve"> </w:t>
      </w:r>
      <w:r>
        <w:t xml:space="preserve">market:</w:t>
      </w:r>
    </w:p>
    <w:p>
      <w:pPr>
        <w:numPr>
          <w:ilvl w:val="0"/>
          <w:numId w:val="1002"/>
        </w:numPr>
        <w:pStyle w:val="Compact"/>
      </w:pPr>
      <w:r>
        <w:rPr>
          <w:bCs/>
          <w:b/>
        </w:rPr>
        <w:t xml:space="preserve">Counterfeit Drug Pressure:</w:t>
      </w:r>
      <w:r>
        <w:t xml:space="preserve"> </w:t>
      </w:r>
      <w:r>
        <w:t xml:space="preserve">Informal markets (e.g., San Pedro, El Agustino) sold counterfeit antibiotics at 60% below our prices. Our pharmacists conducted 12 community education sessions debunking these products, reducing customer inquiries about "cheap alternatives" by 35%.</w:t>
      </w:r>
    </w:p>
    <w:p>
      <w:pPr>
        <w:numPr>
          <w:ilvl w:val="0"/>
          <w:numId w:val="1002"/>
        </w:numPr>
        <w:pStyle w:val="Compact"/>
      </w:pPr>
      <w:r>
        <w:rPr>
          <w:bCs/>
          <w:b/>
        </w:rPr>
        <w:t xml:space="preserve">Seasonal Demand Spikes:</w:t>
      </w:r>
      <w:r>
        <w:t xml:space="preserve"> </w:t>
      </w:r>
      <w:r>
        <w:t xml:space="preserve">August's "temporada de gripe" (flu season) caused a 40% surge in respiratory sales. We leveraged real-time inventory analytics to pre-position stock, avoiding shortages that affected 27% of Lima pharmacies during Q3.</w:t>
      </w:r>
    </w:p>
    <w:p>
      <w:pPr>
        <w:numPr>
          <w:ilvl w:val="0"/>
          <w:numId w:val="1002"/>
        </w:numPr>
        <w:pStyle w:val="Compact"/>
      </w:pPr>
      <w:r>
        <w:rPr>
          <w:bCs/>
          <w:b/>
        </w:rPr>
        <w:t xml:space="preserve">SUNAT Compliance Costs:</w:t>
      </w:r>
      <w:r>
        <w:t xml:space="preserve"> </w:t>
      </w:r>
      <w:r>
        <w:t xml:space="preserve">New electronic invoice regulations increased operational costs by 8%. We mitigated this through staff training workshops led by our senior pharmacists, ensuring zero compliance penalties across all Lima locations.</w:t>
      </w:r>
    </w:p>
    <w:bookmarkEnd w:id="24"/>
    <w:bookmarkStart w:id="25" w:name="strategic-initiatives-for-q4-2023"/>
    <w:p>
      <w:pPr>
        <w:pStyle w:val="Heading2"/>
      </w:pPr>
      <w:r>
        <w:t xml:space="preserve">Strategic Initiatives for Q4 2023</w:t>
      </w:r>
    </w:p>
    <w:p>
      <w:pPr>
        <w:pStyle w:val="FirstParagraph"/>
      </w:pPr>
      <w:r>
        <w:t xml:space="preserve">Building on Q3 success, we launch three initiatives targeting Peru Lima's evolving needs:</w:t>
      </w:r>
    </w:p>
    <w:p>
      <w:pPr>
        <w:numPr>
          <w:ilvl w:val="0"/>
          <w:numId w:val="1003"/>
        </w:numPr>
        <w:pStyle w:val="Compact"/>
      </w:pPr>
      <w:r>
        <w:rPr>
          <w:bCs/>
          <w:b/>
        </w:rPr>
        <w:t xml:space="preserve">"Farmacia Saludable" Program:</w:t>
      </w:r>
      <w:r>
        <w:t xml:space="preserve"> </w:t>
      </w:r>
      <w:r>
        <w:t xml:space="preserve">Partnering with MINSA to offer discounted chronic disease medications for SIS beneficiaries at 12 Lima locations (launching October 1st).</w:t>
      </w:r>
    </w:p>
    <w:p>
      <w:pPr>
        <w:numPr>
          <w:ilvl w:val="0"/>
          <w:numId w:val="1003"/>
        </w:numPr>
        <w:pStyle w:val="Compact"/>
      </w:pPr>
      <w:r>
        <w:rPr>
          <w:bCs/>
          <w:b/>
        </w:rPr>
        <w:t xml:space="preserve">Telepharmacy Expansion:</w:t>
      </w:r>
      <w:r>
        <w:t xml:space="preserve"> </w:t>
      </w:r>
      <w:r>
        <w:t xml:space="preserve">Enabling virtual consultations via WhatsApp – a high-demand channel in Lima's urban centers where transportation barriers persist.</w:t>
      </w:r>
    </w:p>
    <w:p>
      <w:pPr>
        <w:numPr>
          <w:ilvl w:val="0"/>
          <w:numId w:val="1003"/>
        </w:numPr>
        <w:pStyle w:val="Compact"/>
      </w:pPr>
      <w:r>
        <w:rPr>
          <w:bCs/>
          <w:b/>
        </w:rPr>
        <w:t xml:space="preserve">Lima Community Health Fairs:</w:t>
      </w:r>
      <w:r>
        <w:t xml:space="preserve"> </w:t>
      </w:r>
      <w:r>
        <w:t xml:space="preserve">Hosting monthly wellness events in underserved districts, staffed by our pharmacists to provide screenings and free health literacy materials.</w:t>
      </w:r>
    </w:p>
    <w:bookmarkEnd w:id="25"/>
    <w:bookmarkStart w:id="26" w:name="X0539bea685d18947525ad78ed7812794fb3d74f"/>
    <w:p>
      <w:pPr>
        <w:pStyle w:val="Heading2"/>
      </w:pPr>
      <w:r>
        <w:t xml:space="preserve">Conclusion: The Pharmacist as Healthcare Anchor</w:t>
      </w:r>
    </w:p>
    <w:p>
      <w:pPr>
        <w:pStyle w:val="FirstParagraph"/>
      </w:pPr>
      <w:r>
        <w:t xml:space="preserve">The Q3 results underscore that in</w:t>
      </w:r>
      <w:r>
        <w:t xml:space="preserve"> </w:t>
      </w:r>
      <w:r>
        <w:rPr>
          <w:bCs/>
          <w:b/>
        </w:rPr>
        <w:t xml:space="preserve">Peru Lima</w:t>
      </w:r>
      <w:r>
        <w:t xml:space="preserve">, the role of the certified pharmacist transcends dispensing medicine. As frontline healthcare providers, our pharmacists drive revenue growth through clinical trust – a differentiator in a market where 73% of consumers prioritize pharmacist recommendations over advertising (2023 Peru Consumer Health Survey). Our 12% YoY sales growth and 4.7 average customer satisfaction score prove that integrating pharmacy operations with community health needs creates sustainable value. As we scale these initiatives across Lima, we remain committed to the core principle: a</w:t>
      </w:r>
      <w:r>
        <w:t xml:space="preserve"> </w:t>
      </w:r>
      <w:r>
        <w:rPr>
          <w:bCs/>
          <w:b/>
        </w:rPr>
        <w:t xml:space="preserve">Pharmacist</w:t>
      </w:r>
      <w:r>
        <w:t xml:space="preserve">'s expertise is not just part of our sales strategy – it's the foundation of healthcare access in Peru's capital.</w:t>
      </w:r>
    </w:p>
    <w:p>
      <w:pPr>
        <w:pStyle w:val="BodyText"/>
      </w:pPr>
      <w:r>
        <w:rPr>
          <w:iCs/>
          <w:i/>
        </w:rPr>
        <w:t xml:space="preserve">Prepared for: Lima Regional Management Team | Date: October 15, 2023 | Prepared By: Head of Pharmacy Operations,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Pharmacist Sales Report Q3 2023</dc:title>
  <dc:creator/>
  <dc:language>en</dc:language>
  <cp:keywords/>
  <dcterms:created xsi:type="dcterms:W3CDTF">2025-12-13T06:17:22Z</dcterms:created>
  <dcterms:modified xsi:type="dcterms:W3CDTF">2025-12-13T06:17:22Z</dcterms:modified>
</cp:coreProperties>
</file>

<file path=docProps/custom.xml><?xml version="1.0" encoding="utf-8"?>
<Properties xmlns="http://schemas.openxmlformats.org/officeDocument/2006/custom-properties" xmlns:vt="http://schemas.openxmlformats.org/officeDocument/2006/docPropsVTypes"/>
</file>