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Pharmacist</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2024</w:t>
      </w:r>
    </w:p>
    <w:bookmarkStart w:id="26" w:name="X54d6d7b54df7a6fd5befd80c2e9116189ef9f43"/>
    <w:p>
      <w:pPr>
        <w:pStyle w:val="Heading1"/>
      </w:pPr>
      <w:r>
        <w:t xml:space="preserve">Pharmacist-Driven Sales Performance Report: Qatar Doha Market Analysis (Q3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Pharmacy Management, Qatar Doha Regional Office</w:t>
      </w:r>
      <w:r>
        <w:br/>
      </w:r>
      <w:r>
        <w:rPr>
          <w:bCs/>
          <w:b/>
        </w:rPr>
        <w:t xml:space="preserve">Report Period: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This comprehensive Sales Report details the performance metrics of licensed Pharmacists operating across key retail pharmacy chains in Doha, Qatar. The Q3 review demonstrates a robust 18.7% year-over-year increase in total pharmacy sales, directly attributed to the clinical expertise and patient engagement strategies deployed by our certified Pharmacist team. In Qatar's evolving healthcare landscape, where pharmacist-led services are increasingly central to national health initiatives (as outlined in the Qatar National Health Strategy 2030), this report underscores how our Pharmacist professionals have become pivotal drivers of both patient outcomes and commercial success within the Doha market.</w:t>
      </w:r>
    </w:p>
    <w:bookmarkEnd w:id="20"/>
    <w:bookmarkStart w:id="21" w:name="X663ed2b90e992852bb949c7938482887091ea00"/>
    <w:p>
      <w:pPr>
        <w:pStyle w:val="Heading2"/>
      </w:pPr>
      <w:r>
        <w:t xml:space="preserve">II. Key Sales Performance Indicators (Q3 2024 - Doha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2024</w:t>
            </w:r>
          </w:p>
        </w:tc>
        <w:tc>
          <w:tcPr/>
          <w:p>
            <w:pPr>
              <w:pStyle w:val="Compact"/>
              <w:jc w:val="left"/>
            </w:pPr>
            <w:r>
              <w:t xml:space="preserve">Q3 2023</w:t>
            </w:r>
          </w:p>
        </w:tc>
        <w:tc>
          <w:tcPr/>
          <w:p>
            <w:pPr>
              <w:pStyle w:val="Compact"/>
              <w:jc w:val="left"/>
            </w:pPr>
            <w:r>
              <w:t xml:space="preserve">YOY Change</w:t>
            </w:r>
          </w:p>
        </w:tc>
      </w:tr>
      <w:tr>
        <w:tc>
          <w:tcPr/>
          <w:p>
            <w:pPr>
              <w:pStyle w:val="Compact"/>
              <w:jc w:val="left"/>
            </w:pPr>
            <w:r>
              <w:t xml:space="preserve">Total Pharmacy Sales (QR)</w:t>
            </w:r>
          </w:p>
        </w:tc>
        <w:tc>
          <w:tcPr/>
          <w:p>
            <w:pPr>
              <w:pStyle w:val="Compact"/>
              <w:jc w:val="left"/>
            </w:pPr>
            <w:r>
              <w:t xml:space="preserve">18,750,450</w:t>
            </w:r>
          </w:p>
        </w:tc>
        <w:tc>
          <w:tcPr/>
          <w:p>
            <w:pPr>
              <w:pStyle w:val="Compact"/>
              <w:jc w:val="left"/>
            </w:pPr>
            <w:r>
              <w:t xml:space="preserve">15,802,300</w:t>
            </w:r>
          </w:p>
        </w:tc>
        <w:tc>
          <w:tcPr/>
          <w:p>
            <w:pPr>
              <w:pStyle w:val="Compact"/>
              <w:jc w:val="left"/>
            </w:pPr>
            <w:r>
              <w:t xml:space="preserve">+18.7%</w:t>
            </w:r>
          </w:p>
        </w:tc>
      </w:tr>
      <w:tr>
        <w:tc>
          <w:tcPr/>
          <w:p>
            <w:pPr>
              <w:pStyle w:val="Compact"/>
              <w:jc w:val="left"/>
            </w:pPr>
            <w:r>
              <w:t xml:space="preserve">Pharmacist-Driven Service Revenue (Counseling/Screenings)</w:t>
            </w:r>
          </w:p>
        </w:tc>
        <w:tc>
          <w:tcPr/>
          <w:p>
            <w:pPr>
              <w:pStyle w:val="Compact"/>
              <w:jc w:val="left"/>
            </w:pPr>
            <w:r>
              <w:t xml:space="preserve">3,245,670</w:t>
            </w:r>
          </w:p>
        </w:tc>
        <w:tc>
          <w:tcPr/>
          <w:p>
            <w:pPr>
              <w:pStyle w:val="Compact"/>
              <w:jc w:val="left"/>
            </w:pPr>
            <w:r>
              <w:t xml:space="preserve">1,982,150</w:t>
            </w:r>
          </w:p>
        </w:tc>
        <w:tc>
          <w:tcPr/>
          <w:p>
            <w:pPr>
              <w:pStyle w:val="Compact"/>
              <w:jc w:val="left"/>
            </w:pPr>
            <w:r>
              <w:t xml:space="preserve">+63.7%</w:t>
            </w:r>
          </w:p>
        </w:tc>
      </w:tr>
      <w:tr>
        <w:tc>
          <w:tcPr/>
          <w:p>
            <w:pPr>
              <w:pStyle w:val="Compact"/>
              <w:jc w:val="left"/>
            </w:pPr>
            <w:r>
              <w:t xml:space="preserve">Patient Retention Rate (Pharmacist-Care)</w:t>
            </w:r>
          </w:p>
        </w:tc>
        <w:tc>
          <w:tcPr/>
          <w:p>
            <w:pPr>
              <w:pStyle w:val="Compact"/>
              <w:jc w:val="left"/>
            </w:pPr>
            <w:r>
              <w:t xml:space="preserve">78.4%</w:t>
            </w:r>
          </w:p>
        </w:tc>
        <w:tc>
          <w:tcPr/>
          <w:p>
            <w:pPr>
              <w:pStyle w:val="Compact"/>
              <w:jc w:val="left"/>
            </w:pPr>
            <w:r>
              <w:t xml:space="preserve">65.2%</w:t>
            </w:r>
          </w:p>
        </w:tc>
        <w:tc>
          <w:tcPr/>
          <w:p>
            <w:pPr>
              <w:pStyle w:val="Compact"/>
              <w:jc w:val="left"/>
            </w:pPr>
            <w:r>
              <w:t xml:space="preserve">+13.2%</w:t>
            </w:r>
          </w:p>
        </w:tc>
      </w:tr>
      <w:tr>
        <w:tc>
          <w:tcPr/>
          <w:p>
            <w:pPr>
              <w:pStyle w:val="Compact"/>
              <w:jc w:val="left"/>
            </w:pPr>
            <w:r>
              <w:t xml:space="preserve">OTC Product Velocity (Pharmacist Recommendations)</w:t>
            </w:r>
          </w:p>
        </w:tc>
        <w:tc>
          <w:tcPr/>
          <w:p>
            <w:pPr>
              <w:pStyle w:val="Compact"/>
              <w:jc w:val="left"/>
            </w:pPr>
            <w:r>
              <w:t xml:space="preserve">15,800 units</w:t>
            </w:r>
          </w:p>
        </w:tc>
        <w:tc>
          <w:tcPr/>
          <w:p>
            <w:pPr>
              <w:pStyle w:val="Compact"/>
              <w:jc w:val="left"/>
            </w:pPr>
            <w:r>
              <w:t xml:space="preserve">12,400 units</w:t>
            </w:r>
          </w:p>
        </w:tc>
        <w:tc>
          <w:tcPr/>
          <w:p>
            <w:pPr>
              <w:pStyle w:val="Compact"/>
              <w:jc w:val="left"/>
            </w:pPr>
            <w:r>
              <w:t xml:space="preserve">+27.4%</w:t>
            </w:r>
          </w:p>
        </w:tc>
      </w:tr>
    </w:tbl>
    <w:bookmarkEnd w:id="21"/>
    <w:bookmarkStart w:id="22" w:name="Xa0377920ba28c67c2a24fca90a132be8861b1b1"/>
    <w:p>
      <w:pPr>
        <w:pStyle w:val="Heading2"/>
      </w:pPr>
      <w:r>
        <w:t xml:space="preserve">III. Pharmacist Impact on Sales Growth: Qatar Doha Context</w:t>
      </w:r>
    </w:p>
    <w:p>
      <w:pPr>
        <w:pStyle w:val="FirstParagraph"/>
      </w:pPr>
      <w:r>
        <w:t xml:space="preserve">The exceptional performance in this Q3 cycle directly correlates with the strategic integration of the Pharmacist as a clinical sales driver within Doha's pharmacy ecosystem. Under Qatar's Ministry of Public Health (MOPH) guidelines, Pharmacists are uniquely positioned to enhance patient adherence and drive prescription refill volumes through evidence-based counseling. In Doha specifically, where the population is highly diverse (60% expatriates requiring culturally competent care), our Pharmacist team achieved:</w:t>
      </w:r>
    </w:p>
    <w:p>
      <w:pPr>
        <w:numPr>
          <w:ilvl w:val="0"/>
          <w:numId w:val="1001"/>
        </w:numPr>
        <w:pStyle w:val="Compact"/>
      </w:pPr>
      <w:r>
        <w:rPr>
          <w:bCs/>
          <w:b/>
        </w:rPr>
        <w:t xml:space="preserve">22% Increase in Chronic Disease Management Sales:</w:t>
      </w:r>
      <w:r>
        <w:t xml:space="preserve"> </w:t>
      </w:r>
      <w:r>
        <w:t xml:space="preserve">Pharmacists initiated structured follow-ups for diabetes and hypertension patients at 85+ Doha locations, directly boosting insulin and antihypertensive sales by QR 4.2M.</w:t>
      </w:r>
    </w:p>
    <w:p>
      <w:pPr>
        <w:numPr>
          <w:ilvl w:val="0"/>
          <w:numId w:val="1001"/>
        </w:numPr>
        <w:pStyle w:val="Compact"/>
      </w:pPr>
      <w:r>
        <w:rPr>
          <w:bCs/>
          <w:b/>
        </w:rPr>
        <w:t xml:space="preserve">Pharmacist-Led Vaccination Campaigns:</w:t>
      </w:r>
      <w:r>
        <w:t xml:space="preserve"> </w:t>
      </w:r>
      <w:r>
        <w:t xml:space="preserve">During the seasonal flu surge in August, Pharmacist-led immunization drives at Qatari pharmacies (in partnership with Primary Health Care Corporation) generated QR 1.8M in vaccine sales and related products (sterile syringes, antipyretics).</w:t>
      </w:r>
    </w:p>
    <w:p>
      <w:pPr>
        <w:numPr>
          <w:ilvl w:val="0"/>
          <w:numId w:val="1001"/>
        </w:numPr>
        <w:pStyle w:val="Compact"/>
      </w:pPr>
      <w:r>
        <w:rPr>
          <w:bCs/>
          <w:b/>
        </w:rPr>
        <w:t xml:space="preserve">Reduction in Product Returns:</w:t>
      </w:r>
      <w:r>
        <w:t xml:space="preserve"> </w:t>
      </w:r>
      <w:r>
        <w:t xml:space="preserve">Clinical verification by the Pharmacist reduced improper medication returns by 34%, directly protecting sales revenue as per MOPH retail pharmacy compliance standards.</w:t>
      </w:r>
    </w:p>
    <w:bookmarkEnd w:id="22"/>
    <w:bookmarkStart w:id="23" w:name="Xb778c2858dd57b9cd05160a849b8ed5b8f38ef0"/>
    <w:p>
      <w:pPr>
        <w:pStyle w:val="Heading2"/>
      </w:pPr>
      <w:r>
        <w:t xml:space="preserve">IV. Critical Challenges &amp; Qatar-Specific Insights</w:t>
      </w:r>
    </w:p>
    <w:p>
      <w:pPr>
        <w:pStyle w:val="FirstParagraph"/>
      </w:pPr>
      <w:r>
        <w:t xml:space="preserve">Despite strong growth, Doha's unique market dynamics presented challenges requiring Pharmacist-led solutions:</w:t>
      </w:r>
    </w:p>
    <w:p>
      <w:pPr>
        <w:numPr>
          <w:ilvl w:val="0"/>
          <w:numId w:val="1002"/>
        </w:numPr>
        <w:pStyle w:val="Compact"/>
      </w:pPr>
      <w:r>
        <w:rPr>
          <w:bCs/>
          <w:b/>
        </w:rPr>
        <w:t xml:space="preserve">Seasonal Demand Fluctuations:</w:t>
      </w:r>
      <w:r>
        <w:t xml:space="preserve"> </w:t>
      </w:r>
      <w:r>
        <w:t xml:space="preserve">Extreme summer heat (July-August) spiked demand for electrolytes and hydration products. Pharmacists at Al-Wakra and Umm Salal pharmacies anticipated this by 3 weeks, securing stock through MOPH-approved local suppliers to avoid sales loss during peak heatwaves.</w:t>
      </w:r>
    </w:p>
    <w:p>
      <w:pPr>
        <w:numPr>
          <w:ilvl w:val="0"/>
          <w:numId w:val="1002"/>
        </w:numPr>
        <w:pStyle w:val="Compact"/>
      </w:pPr>
      <w:r>
        <w:rPr>
          <w:bCs/>
          <w:b/>
        </w:rPr>
        <w:t xml:space="preserve">Cultural &amp; Language Nuances:</w:t>
      </w:r>
      <w:r>
        <w:t xml:space="preserve"> </w:t>
      </w:r>
      <w:r>
        <w:t xml:space="preserve">Doha's large South Asian expat population required Pharmacist staff certified in Urdu/Tagalog. Pharmacists conducting multilingual consultations saw 29% higher compliance for complex regimens (e.g., post-transplant immunosuppressants), directly translating to repeat purchases.</w:t>
      </w:r>
    </w:p>
    <w:p>
      <w:pPr>
        <w:numPr>
          <w:ilvl w:val="0"/>
          <w:numId w:val="1002"/>
        </w:numPr>
        <w:pStyle w:val="Compact"/>
      </w:pPr>
      <w:r>
        <w:rPr>
          <w:bCs/>
          <w:b/>
        </w:rPr>
        <w:t xml:space="preserve">Regulatory Compliance Pressure:</w:t>
      </w:r>
      <w:r>
        <w:t xml:space="preserve"> </w:t>
      </w:r>
      <w:r>
        <w:t xml:space="preserve">MOPH's updated "Pharmacist Scope of Practice" regulations (effective Jan 2024) mandated expanded patient counseling. Pharmacists proactively trained in new protocols increased service revenue through mandatory medication reviews, exceeding regulatory targets while generating additional sales.</w:t>
      </w:r>
    </w:p>
    <w:bookmarkEnd w:id="23"/>
    <w:bookmarkStart w:id="24" w:name="X20148f9cfd48f5ab46fd1767c3c156c2a69d339"/>
    <w:p>
      <w:pPr>
        <w:pStyle w:val="Heading2"/>
      </w:pPr>
      <w:r>
        <w:t xml:space="preserve">V. Strategic Recommendations for Future Sales Growth</w:t>
      </w:r>
    </w:p>
    <w:p>
      <w:pPr>
        <w:pStyle w:val="FirstParagraph"/>
      </w:pPr>
      <w:r>
        <w:t xml:space="preserve">Based on this Q3 Sales Report and Doha market analysis, we propose the following pharmacist-centric initiatives to sustain growth:</w:t>
      </w:r>
    </w:p>
    <w:p>
      <w:pPr>
        <w:numPr>
          <w:ilvl w:val="0"/>
          <w:numId w:val="1003"/>
        </w:numPr>
        <w:pStyle w:val="Compact"/>
      </w:pPr>
      <w:r>
        <w:rPr>
          <w:bCs/>
          <w:b/>
        </w:rPr>
        <w:t xml:space="preserve">Expand Pharmacist-Led Health Screening Points:</w:t>
      </w:r>
      <w:r>
        <w:t xml:space="preserve"> </w:t>
      </w:r>
      <w:r>
        <w:t xml:space="preserve">Pilot "Pharmacist Wellness Hubs" in high-traffic Doha malls (e.g., Mall of Qatar, Lusail) offering free blood pressure and glucose checks. Projected to drive 25% new patient acquisition and QR 3M+ in follow-up product sales annually.</w:t>
      </w:r>
    </w:p>
    <w:p>
      <w:pPr>
        <w:numPr>
          <w:ilvl w:val="0"/>
          <w:numId w:val="1003"/>
        </w:numPr>
        <w:pStyle w:val="Compact"/>
      </w:pPr>
      <w:r>
        <w:rPr>
          <w:bCs/>
          <w:b/>
        </w:rPr>
        <w:t xml:space="preserve">Enhance Digital Integration:</w:t>
      </w:r>
      <w:r>
        <w:t xml:space="preserve"> </w:t>
      </w:r>
      <w:r>
        <w:t xml:space="preserve">Implement Pharmacist-approved telehealth consultations via Qatar's "Seha" digital health platform. Pharmacists can prescribe minor OTC alternatives, reducing in-person visits while increasing prescription refill sales (projected +15%).</w:t>
      </w:r>
    </w:p>
    <w:p>
      <w:pPr>
        <w:numPr>
          <w:ilvl w:val="0"/>
          <w:numId w:val="1003"/>
        </w:numPr>
        <w:pStyle w:val="Compact"/>
      </w:pPr>
      <w:r>
        <w:rPr>
          <w:bCs/>
          <w:b/>
        </w:rPr>
        <w:t xml:space="preserve">Culturally Specific Pharmacist Training:</w:t>
      </w:r>
      <w:r>
        <w:t xml:space="preserve"> </w:t>
      </w:r>
      <w:r>
        <w:t xml:space="preserve">Develop mandatory cultural competency modules for all Doha Pharmacists covering regional health beliefs (e.g., Gulf Arab traditional remedies). This directly addresses a key factor in patient trust, correlating with 30% higher brand loyalty in our Q3 NPS data.</w:t>
      </w:r>
    </w:p>
    <w:p>
      <w:pPr>
        <w:numPr>
          <w:ilvl w:val="0"/>
          <w:numId w:val="1003"/>
        </w:numPr>
        <w:pStyle w:val="Compact"/>
      </w:pPr>
      <w:r>
        <w:rPr>
          <w:bCs/>
          <w:b/>
        </w:rPr>
        <w:t xml:space="preserve">Strengthen MOPH Partnership:</w:t>
      </w:r>
      <w:r>
        <w:t xml:space="preserve"> </w:t>
      </w:r>
      <w:r>
        <w:t xml:space="preserve">Formalize joint initiatives with Qatar University College of Pharmacy for student internships at Doha pharmacies. This pipeline ensures Pharmacist talent aligns with local health priorities, directly supporting national healthcare goals and sales stability.</w:t>
      </w:r>
    </w:p>
    <w:bookmarkEnd w:id="24"/>
    <w:bookmarkStart w:id="25" w:name="vi.-conclusion"/>
    <w:p>
      <w:pPr>
        <w:pStyle w:val="Heading2"/>
      </w:pPr>
      <w:r>
        <w:t xml:space="preserve">VI. Conclusion</w:t>
      </w:r>
    </w:p>
    <w:p>
      <w:pPr>
        <w:pStyle w:val="FirstParagraph"/>
      </w:pPr>
      <w:r>
        <w:t xml:space="preserve">This Sales Report unequivocally demonstrates that the Pharmacist is not merely a prescription dispenser in Qatar Doha—but the strategic catalyst for sustainable revenue growth, patient satisfaction, and regulatory excellence. The 18.7% sales increase in Q3 2024 is directly attributable to Pharmacists leveraging their clinical authority to enhance patient engagement, ensure medication adherence, and drive informed product choices within Qatar's evolving healthcare market. As Doha continues its transformation into a global health hub under the National Vision 2030, pharmacies where the Pharmacist leads the service model will remain at the forefront of both commercial success and community health impact. Continuous investment in Pharmacist development is not just recommended—it is essential for securing our competitive position across every Doha pharmacy location.</w:t>
      </w:r>
    </w:p>
    <w:p>
      <w:pPr>
        <w:pStyle w:val="BodyText"/>
      </w:pPr>
      <w:r>
        <w:rPr>
          <w:bCs/>
          <w:b/>
        </w:rPr>
        <w:t xml:space="preserve">Prepared By:</w:t>
      </w:r>
      <w:r>
        <w:t xml:space="preserve"> </w:t>
      </w:r>
      <w:r>
        <w:t xml:space="preserve">Regional Sales Performance Division</w:t>
      </w:r>
      <w:r>
        <w:br/>
      </w:r>
      <w:r>
        <w:rPr>
          <w:bCs/>
          <w:b/>
        </w:rPr>
        <w:t xml:space="preserve">Pharmacist Advisory Council, Qatar Doha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Pharmacist Sales Performance Report - Q3 2024</dc:title>
  <dc:creator/>
  <dc:language>en</dc:language>
  <cp:keywords/>
  <dcterms:created xsi:type="dcterms:W3CDTF">2026-07-19T19:39:09Z</dcterms:created>
  <dcterms:modified xsi:type="dcterms:W3CDTF">2026-07-19T19:39:09Z</dcterms:modified>
</cp:coreProperties>
</file>

<file path=docProps/custom.xml><?xml version="1.0" encoding="utf-8"?>
<Properties xmlns="http://schemas.openxmlformats.org/officeDocument/2006/custom-properties" xmlns:vt="http://schemas.openxmlformats.org/officeDocument/2006/docPropsVTypes"/>
</file>