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Singapore</w:t>
      </w:r>
    </w:p>
    <w:bookmarkStart w:id="27" w:name="Xcf9ba3c88e635cf8755c9a560ee750593a8ac5e"/>
    <w:p>
      <w:pPr>
        <w:pStyle w:val="Heading1"/>
      </w:pPr>
      <w:r>
        <w:t xml:space="preserve">Sales Report: Pharmaceutical Performance Analysis for Pharmacist Operations in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Team, Singapore</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pharmaceutical sales performance of our retail pharmacy network across Singapore. As a leading healthcare provider in Singapore, our Pharmacist-led operations have achieved remarkable growth through strategic inventory management and community-focused service delivery. The report confirms that pharmacist-driven customer engagement has directly contributed to a 15.7% year-on-year sales increase, exceeding regional benchmarks by 4.2%. This success is particularly significant given the evolving healthcare landscape in Singapore Singapore, where regulatory compliance and patient education remain paramount.</w:t>
      </w:r>
    </w:p>
    <w:bookmarkEnd w:id="20"/>
    <w:bookmarkStart w:id="21" w:name="ii.-key-sales-performance-metrics"/>
    <w:p>
      <w:pPr>
        <w:pStyle w:val="Heading2"/>
      </w:pPr>
      <w:r>
        <w:t xml:space="preserve">II. Key Sales Performance Metrics</w:t>
      </w:r>
    </w:p>
    <w:p>
      <w:pPr>
        <w:pStyle w:val="FirstParagraph"/>
      </w:pPr>
      <w:r>
        <w:t xml:space="preserve">Our Pharmacist team across all 18 locations in Singapore demonstrated exceptional consistency:</w:t>
      </w:r>
    </w:p>
    <w:p>
      <w:pPr>
        <w:numPr>
          <w:ilvl w:val="0"/>
          <w:numId w:val="1001"/>
        </w:numPr>
        <w:pStyle w:val="Compact"/>
      </w:pPr>
      <w:r>
        <w:rPr>
          <w:bCs/>
          <w:b/>
        </w:rPr>
        <w:t xml:space="preserve">Total Revenue:</w:t>
      </w:r>
      <w:r>
        <w:t xml:space="preserve"> </w:t>
      </w:r>
      <w:r>
        <w:t xml:space="preserve">S$12.8 million (15.7% increase YoY)</w:t>
      </w:r>
    </w:p>
    <w:p>
      <w:pPr>
        <w:numPr>
          <w:ilvl w:val="0"/>
          <w:numId w:val="1001"/>
        </w:numPr>
        <w:pStyle w:val="Compact"/>
      </w:pPr>
      <w:r>
        <w:rPr>
          <w:bCs/>
          <w:b/>
        </w:rPr>
        <w:t xml:space="preserve">Patient Consultation Rate:</w:t>
      </w:r>
      <w:r>
        <w:t xml:space="preserve"> </w:t>
      </w:r>
      <w:r>
        <w:t xml:space="preserve">63% of customers engaged with Pharmacist for medication reviews</w:t>
      </w:r>
    </w:p>
    <w:p>
      <w:pPr>
        <w:numPr>
          <w:ilvl w:val="0"/>
          <w:numId w:val="1001"/>
        </w:numPr>
        <w:pStyle w:val="Compact"/>
      </w:pPr>
      <w:r>
        <w:rPr>
          <w:bCs/>
          <w:b/>
        </w:rPr>
        <w:t xml:space="preserve">OTC Product Sales Growth:</w:t>
      </w:r>
      <w:r>
        <w:t xml:space="preserve"> </w:t>
      </w:r>
      <w:r>
        <w:t xml:space="preserve">22.4% (driven by wellness products in Singapore's aging population)</w:t>
      </w:r>
    </w:p>
    <w:p>
      <w:pPr>
        <w:numPr>
          <w:ilvl w:val="0"/>
          <w:numId w:val="1001"/>
        </w:numPr>
        <w:pStyle w:val="Compact"/>
      </w:pPr>
      <w:r>
        <w:rPr>
          <w:bCs/>
          <w:b/>
        </w:rPr>
        <w:t xml:space="preserve">Prescription Fill Accuracy:</w:t>
      </w:r>
      <w:r>
        <w:t xml:space="preserve"> </w:t>
      </w:r>
      <w:r>
        <w:t xml:space="preserve">99.87% (exceeding HSA benchmark of 98%)</w:t>
      </w:r>
    </w:p>
    <w:p>
      <w:pPr>
        <w:pStyle w:val="FirstParagraph"/>
      </w:pPr>
      <w:r>
        <w:t xml:space="preserve">The Pharmacist-led initiative to expand chronic disease management programs directly boosted sales in hypertension and diabetes categories by 31%. This aligns with Singapore's national health priorities, where the Ministry of Health emphasizes pharmacist involvement in long-term condition management.</w:t>
      </w:r>
    </w:p>
    <w:bookmarkEnd w:id="21"/>
    <w:bookmarkStart w:id="22" w:name="X01acb7b74ad151bc42b79820c236aa4fd43ee3e"/>
    <w:p>
      <w:pPr>
        <w:pStyle w:val="Heading2"/>
      </w:pPr>
      <w:r>
        <w:t xml:space="preserve">III. Regional Performance Analysis (Singapore Singapore Focus)</w:t>
      </w:r>
    </w:p>
    <w:p>
      <w:pPr>
        <w:pStyle w:val="FirstParagraph"/>
      </w:pPr>
      <w:r>
        <w:t xml:space="preserve">This Sales Report highlights distinct performance patterns across Singapore's diverse regions: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 Revenue Growth</w:t>
            </w:r>
          </w:p>
        </w:tc>
        <w:tc>
          <w:tcPr/>
          <w:p>
            <w:pPr>
              <w:pStyle w:val="Compact"/>
              <w:jc w:val="left"/>
            </w:pPr>
            <w:r>
              <w:t xml:space="preserve">Key Product Drivers</w:t>
            </w:r>
          </w:p>
        </w:tc>
        <w:tc>
          <w:tcPr/>
          <w:p>
            <w:pPr>
              <w:pStyle w:val="Compact"/>
              <w:jc w:val="left"/>
            </w:pPr>
            <w:r>
              <w:t xml:space="preserve">Pharmacist Engagement Index</w:t>
            </w:r>
          </w:p>
        </w:tc>
      </w:tr>
      <w:tr>
        <w:tc>
          <w:tcPr/>
          <w:p>
            <w:pPr>
              <w:pStyle w:val="Compact"/>
              <w:jc w:val="left"/>
            </w:pPr>
            <w:r>
              <w:t xml:space="preserve">Singapore Central (e.g., Orchard Road)</w:t>
            </w:r>
          </w:p>
        </w:tc>
        <w:tc>
          <w:tcPr/>
          <w:p>
            <w:pPr>
              <w:pStyle w:val="Compact"/>
              <w:jc w:val="left"/>
            </w:pPr>
            <w:r>
              <w:t xml:space="preserve">+18.3%</w:t>
            </w:r>
          </w:p>
        </w:tc>
        <w:tc>
          <w:tcPr/>
          <w:p>
            <w:pPr>
              <w:pStyle w:val="Compact"/>
              <w:jc w:val="left"/>
            </w:pPr>
            <w:r>
              <w:t xml:space="preserve">Beauty &amp; Wellness Products, Travel Medications</w:t>
            </w:r>
          </w:p>
        </w:tc>
        <w:tc>
          <w:tcPr/>
          <w:p>
            <w:pPr>
              <w:pStyle w:val="Compact"/>
              <w:jc w:val="left"/>
            </w:pPr>
            <w:r>
              <w:t xml:space="preserve">78%</w:t>
            </w:r>
          </w:p>
        </w:tc>
      </w:tr>
      <w:tr>
        <w:tc>
          <w:tcPr/>
          <w:p>
            <w:pPr>
              <w:pStyle w:val="Compact"/>
              <w:jc w:val="left"/>
            </w:pPr>
            <w:r>
              <w:t xml:space="preserve">Singapore East (e.g., Tampines)</w:t>
            </w:r>
          </w:p>
        </w:tc>
        <w:tc>
          <w:tcPr/>
          <w:p>
            <w:pPr>
              <w:pStyle w:val="Compact"/>
              <w:jc w:val="left"/>
            </w:pPr>
            <w:r>
              <w:t xml:space="preserve">+12.9%</w:t>
            </w:r>
          </w:p>
        </w:tc>
        <w:tc>
          <w:tcPr/>
          <w:p>
            <w:pPr>
              <w:pStyle w:val="Compact"/>
              <w:jc w:val="left"/>
            </w:pPr>
            <w:r>
              <w:t xml:space="preserve">Chronic Disease Medications, Baby Care</w:t>
            </w:r>
          </w:p>
        </w:tc>
        <w:tc>
          <w:tcPr/>
          <w:p>
            <w:pPr>
              <w:pStyle w:val="Compact"/>
              <w:jc w:val="left"/>
            </w:pPr>
            <w:r>
              <w:t xml:space="preserve">82%</w:t>
            </w:r>
          </w:p>
        </w:tc>
      </w:tr>
      <w:tr>
        <w:tc>
          <w:tcPr/>
          <w:p>
            <w:pPr>
              <w:pStyle w:val="Compact"/>
              <w:jc w:val="left"/>
            </w:pPr>
            <w:r>
              <w:t xml:space="preserve">Singapore West (e.g., Jurong East)</w:t>
            </w:r>
          </w:p>
        </w:tc>
        <w:tc>
          <w:tcPr/>
          <w:p>
            <w:pPr>
              <w:pStyle w:val="Compact"/>
              <w:jc w:val="left"/>
            </w:pPr>
            <w:r>
              <w:t xml:space="preserve">+14.5%</w:t>
            </w:r>
          </w:p>
        </w:tc>
        <w:tc>
          <w:tcPr/>
          <w:p>
            <w:pPr>
              <w:pStyle w:val="Compact"/>
              <w:jc w:val="left"/>
            </w:pPr>
            <w:r>
              <w:t xml:space="preserve">Vitamins, Senior Wellness Packages</w:t>
            </w:r>
          </w:p>
        </w:tc>
        <w:tc>
          <w:tcPr/>
          <w:p>
            <w:pPr>
              <w:pStyle w:val="Compact"/>
              <w:jc w:val="left"/>
            </w:pPr>
            <w:r>
              <w:t xml:space="preserve">79%</w:t>
            </w:r>
          </w:p>
        </w:tc>
      </w:tr>
      <w:tr>
        <w:tc>
          <w:tcPr/>
          <w:p>
            <w:pPr>
              <w:pStyle w:val="Compact"/>
              <w:jc w:val="left"/>
            </w:pPr>
            <w:r>
              <w:t xml:space="preserve">Singapore North (e.g., Sengkang)</w:t>
            </w:r>
          </w:p>
        </w:tc>
        <w:tc>
          <w:tcPr/>
          <w:p>
            <w:pPr>
              <w:pStyle w:val="Compact"/>
              <w:jc w:val="left"/>
            </w:pPr>
            <w:r>
              <w:t xml:space="preserve">+13.8%</w:t>
            </w:r>
          </w:p>
        </w:tc>
        <w:tc>
          <w:tcPr/>
          <w:p>
            <w:pPr>
              <w:pStyle w:val="Compact"/>
              <w:jc w:val="left"/>
            </w:pPr>
            <w:r>
              <w:t xml:space="preserve">Over-the-Counter Pain Relief, Allergy Treatments</w:t>
            </w:r>
          </w:p>
        </w:tc>
        <w:tc>
          <w:tcPr/>
          <w:p>
            <w:pPr>
              <w:pStyle w:val="Compact"/>
              <w:jc w:val="left"/>
            </w:pPr>
            <w:r>
              <w:t xml:space="preserve">84%</w:t>
            </w:r>
          </w:p>
        </w:tc>
      </w:tr>
    </w:tbl>
    <w:p>
      <w:pPr>
        <w:pStyle w:val="BodyText"/>
      </w:pPr>
      <w:r>
        <w:t xml:space="preserve">The Pharmacist team in Singapore East recorded the highest engagement index (82%), directly correlating with their specialized diabetes management workshops. Meanwhile, Singapore Central's luxury beauty product sales growth reflects strategic partnerships with local wellness brands in this high-traffic commercial zone of Singapore Singapore.</w:t>
      </w:r>
    </w:p>
    <w:bookmarkEnd w:id="22"/>
    <w:bookmarkStart w:id="23" w:name="X3e84ac39551c3ee97ce1bf929846297319e05ed"/>
    <w:p>
      <w:pPr>
        <w:pStyle w:val="Heading2"/>
      </w:pPr>
      <w:r>
        <w:t xml:space="preserve">IV. Pharmacist-Driven Sales Strategies &amp; Innovations</w:t>
      </w:r>
    </w:p>
    <w:p>
      <w:pPr>
        <w:pStyle w:val="FirstParagraph"/>
      </w:pPr>
      <w:r>
        <w:t xml:space="preserve">Our Sales Report identifies three pharmacist-led initiatives that transformed performance:</w:t>
      </w:r>
    </w:p>
    <w:p>
      <w:pPr>
        <w:numPr>
          <w:ilvl w:val="0"/>
          <w:numId w:val="1002"/>
        </w:numPr>
        <w:pStyle w:val="Compact"/>
      </w:pPr>
      <w:r>
        <w:rPr>
          <w:bCs/>
          <w:b/>
        </w:rPr>
        <w:t xml:space="preserve">Chronic Condition Management Program (CCMP):</w:t>
      </w:r>
      <w:r>
        <w:t xml:space="preserve"> </w:t>
      </w:r>
      <w:r>
        <w:t xml:space="preserve">Pharmacist-designed medication synchronization system increased patient retention by 37%. In Singapore, where 40% of residents over 65 have at least two chronic conditions, this program generated S$2.1M in recurring revenue.</w:t>
      </w:r>
    </w:p>
    <w:p>
      <w:pPr>
        <w:numPr>
          <w:ilvl w:val="0"/>
          <w:numId w:val="1002"/>
        </w:numPr>
        <w:pStyle w:val="Compact"/>
      </w:pPr>
      <w:r>
        <w:rPr>
          <w:bCs/>
          <w:b/>
        </w:rPr>
        <w:t xml:space="preserve">Wellness Ambassador Program:</w:t>
      </w:r>
      <w:r>
        <w:t xml:space="preserve"> </w:t>
      </w:r>
      <w:r>
        <w:t xml:space="preserve">Trained Pharmacist staff conducted weekly health screenings (blood pressure, glucose) at all Singapore locations, resulting in 28% upsell conversion to preventive products.</w:t>
      </w:r>
    </w:p>
    <w:p>
      <w:pPr>
        <w:numPr>
          <w:ilvl w:val="0"/>
          <w:numId w:val="1002"/>
        </w:numPr>
        <w:pStyle w:val="Compact"/>
      </w:pPr>
      <w:r>
        <w:rPr>
          <w:bCs/>
          <w:b/>
        </w:rPr>
        <w:t xml:space="preserve">Telehealth Integration:</w:t>
      </w:r>
      <w:r>
        <w:t xml:space="preserve"> </w:t>
      </w:r>
      <w:r>
        <w:t xml:space="preserve">Collaboration with local clinics for pharmacist-led virtual consultations expanded service reach across Singapore Singapore, contributing S$1.7M in e-commerce sales (up 45% YoY).</w:t>
      </w:r>
    </w:p>
    <w:bookmarkEnd w:id="23"/>
    <w:bookmarkStart w:id="24" w:name="Xb15e8ee9ba4fc1c2cbdb318f94d38d3379c035e"/>
    <w:p>
      <w:pPr>
        <w:pStyle w:val="Heading2"/>
      </w:pPr>
      <w:r>
        <w:t xml:space="preserve">V. Market Challenges &amp; Opportunities in Singapore</w:t>
      </w:r>
    </w:p>
    <w:p>
      <w:pPr>
        <w:pStyle w:val="FirstParagraph"/>
      </w:pPr>
      <w:r>
        <w:t xml:space="preserve">This Sales Report addresses critical challenges specific to the Singapore pharmacy market:</w:t>
      </w:r>
    </w:p>
    <w:p>
      <w:pPr>
        <w:numPr>
          <w:ilvl w:val="0"/>
          <w:numId w:val="1003"/>
        </w:numPr>
        <w:pStyle w:val="Compact"/>
      </w:pPr>
      <w:r>
        <w:rPr>
          <w:bCs/>
          <w:b/>
        </w:rPr>
        <w:t xml:space="preserve">Regulatory Compliance Pressures:</w:t>
      </w:r>
      <w:r>
        <w:t xml:space="preserve"> </w:t>
      </w:r>
      <w:r>
        <w:t xml:space="preserve">New HSA requirements for medication safety audits increased Pharmacist documentation time by 18%. However, dedicated Pharmacist compliance officers reduced audit failures to 0.2%.</w:t>
      </w:r>
    </w:p>
    <w:p>
      <w:pPr>
        <w:numPr>
          <w:ilvl w:val="0"/>
          <w:numId w:val="1003"/>
        </w:numPr>
        <w:pStyle w:val="Compact"/>
      </w:pPr>
      <w:r>
        <w:rPr>
          <w:bCs/>
          <w:b/>
        </w:rPr>
        <w:t xml:space="preserve">Supply Chain Disruptions:</w:t>
      </w:r>
      <w:r>
        <w:t xml:space="preserve"> </w:t>
      </w:r>
      <w:r>
        <w:t xml:space="preserve">Global shortages affected key diabetes medications in Q2. Our Pharmacist team implemented real-time inventory tracking, minimizing stockouts through proactive supplier negotiations.</w:t>
      </w:r>
    </w:p>
    <w:p>
      <w:pPr>
        <w:numPr>
          <w:ilvl w:val="0"/>
          <w:numId w:val="1003"/>
        </w:numPr>
        <w:pStyle w:val="Compact"/>
      </w:pPr>
      <w:r>
        <w:rPr>
          <w:bCs/>
          <w:b/>
        </w:rPr>
        <w:t xml:space="preserve">Rising Competition:</w:t>
      </w:r>
      <w:r>
        <w:t xml:space="preserve"> </w:t>
      </w:r>
      <w:r>
        <w:t xml:space="preserve">New pharmacy chains entered Singapore Singapore's market, but our Pharmacist-centric customer service (measured via 4.7/5 avg. ratings) maintained 89% customer retention.</w:t>
      </w:r>
    </w:p>
    <w:p>
      <w:pPr>
        <w:pStyle w:val="FirstParagraph"/>
      </w:pPr>
      <w:r>
        <w:t xml:space="preserve">Emerging opportunities include Singapore's HealthySG initiative and the growing demand for personalized nutrition services among expatriates in Singapore, representing a S$320K untapped market segment identified by our Pharmacist analytics team.</w:t>
      </w:r>
    </w:p>
    <w:bookmarkEnd w:id="24"/>
    <w:bookmarkStart w:id="25" w:name="vi.-strategic-recommendations"/>
    <w:p>
      <w:pPr>
        <w:pStyle w:val="Heading2"/>
      </w:pPr>
      <w:r>
        <w:t xml:space="preserve">VI. Strategic Recommendations</w:t>
      </w:r>
    </w:p>
    <w:p>
      <w:pPr>
        <w:pStyle w:val="FirstParagraph"/>
      </w:pPr>
      <w:r>
        <w:t xml:space="preserve">Based on this Sales Report, we recommend:</w:t>
      </w:r>
    </w:p>
    <w:p>
      <w:pPr>
        <w:numPr>
          <w:ilvl w:val="0"/>
          <w:numId w:val="1004"/>
        </w:numPr>
        <w:pStyle w:val="Compact"/>
      </w:pPr>
      <w:r>
        <w:rPr>
          <w:bCs/>
          <w:b/>
        </w:rPr>
        <w:t xml:space="preserve">Expand Pharmacist Training in Digital Health Tools:</w:t>
      </w:r>
      <w:r>
        <w:t xml:space="preserve"> </w:t>
      </w:r>
      <w:r>
        <w:t xml:space="preserve">Invest S$150K in telehealth certification for all Pharmacists to support Singapore's digital health transformation.</w:t>
      </w:r>
    </w:p>
    <w:p>
      <w:pPr>
        <w:numPr>
          <w:ilvl w:val="0"/>
          <w:numId w:val="1004"/>
        </w:numPr>
        <w:pStyle w:val="Compact"/>
      </w:pPr>
      <w:r>
        <w:rPr>
          <w:bCs/>
          <w:b/>
        </w:rPr>
        <w:t xml:space="preserve">Leverage Data Analytics Platform:</w:t>
      </w:r>
      <w:r>
        <w:t xml:space="preserve"> </w:t>
      </w:r>
      <w:r>
        <w:t xml:space="preserve">Implement AI-driven inventory forecasting system to address Singapore-specific supply chain volatility.</w:t>
      </w:r>
    </w:p>
    <w:p>
      <w:pPr>
        <w:numPr>
          <w:ilvl w:val="0"/>
          <w:numId w:val="1004"/>
        </w:numPr>
        <w:pStyle w:val="Compact"/>
      </w:pPr>
      <w:r>
        <w:rPr>
          <w:bCs/>
          <w:b/>
        </w:rPr>
        <w:t xml:space="preserve">Develop Singapore-Specific Wellness Bundles:</w:t>
      </w:r>
      <w:r>
        <w:t xml:space="preserve"> </w:t>
      </w:r>
      <w:r>
        <w:t xml:space="preserve">Create culturally tailored products for Chinese, Malay, and Indian communities in Singapore, leveraging Pharmacist cultural competency training.</w:t>
      </w:r>
    </w:p>
    <w:bookmarkEnd w:id="25"/>
    <w:bookmarkStart w:id="26" w:name="vii.-conclusion"/>
    <w:p>
      <w:pPr>
        <w:pStyle w:val="Heading2"/>
      </w:pPr>
      <w:r>
        <w:t xml:space="preserve">VII. Conclusion</w:t>
      </w:r>
    </w:p>
    <w:p>
      <w:pPr>
        <w:pStyle w:val="FirstParagraph"/>
      </w:pPr>
      <w:r>
        <w:t xml:space="preserve">This Sales Report confirms that pharmacist-led operations remain the cornerstone of success in Singapore's competitive pharmaceutical market. The Pharmacist team's clinical expertise combined with patient-centered sales approach has established our pharmacy network as a trusted healthcare partner across Singapore Singapore. As we navigate Singapore's evolving healthcare ecosystem, our commitment to elevating the Pharmacist role—from medication dispenser to health coach—will continue driving sustainable growth. We project 12-14% revenue growth for 2024, with the Pharmacist team serving as the primary catalyst for this expansion.</w:t>
      </w:r>
    </w:p>
    <w:p>
      <w:pPr>
        <w:pStyle w:val="BodyText"/>
      </w:pPr>
      <w:r>
        <w:rPr>
          <w:bCs/>
          <w:b/>
        </w:rPr>
        <w:t xml:space="preserve">Prepared By:</w:t>
      </w:r>
      <w:r>
        <w:t xml:space="preserve"> </w:t>
      </w:r>
      <w:r>
        <w:t xml:space="preserve">National Sales Analytics Team</w:t>
      </w:r>
      <w:r>
        <w:br/>
      </w:r>
      <w:r>
        <w:rPr>
          <w:bCs/>
          <w:b/>
        </w:rPr>
        <w:t xml:space="preserve">Approved By:</w:t>
      </w:r>
      <w:r>
        <w:t xml:space="preserve"> </w:t>
      </w:r>
      <w:r>
        <w:t xml:space="preserve">Head of Pharmacy Operations, Singapore</w:t>
      </w:r>
    </w:p>
    <w:p>
      <w:pPr>
        <w:pStyle w:val="BodyText"/>
      </w:pPr>
      <w:r>
        <w:rPr>
          <w:iCs/>
          <w:i/>
        </w:rPr>
        <w:t xml:space="preserve">This Sales Report complies with Singapore Health Sciences Authority (HSA) guidelines and Ministry of Health (MOH) healthcare data standards. All figures are verified through Pharmacy Management System (PMS) audit trails as of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 Singapore</dc:title>
  <dc:creator/>
  <dc:language>en</dc:language>
  <cp:keywords/>
  <dcterms:created xsi:type="dcterms:W3CDTF">2026-07-21T05:50:44Z</dcterms:created>
  <dcterms:modified xsi:type="dcterms:W3CDTF">2026-07-21T05:50:44Z</dcterms:modified>
</cp:coreProperties>
</file>

<file path=docProps/custom.xml><?xml version="1.0" encoding="utf-8"?>
<Properties xmlns="http://schemas.openxmlformats.org/officeDocument/2006/custom-properties" xmlns:vt="http://schemas.openxmlformats.org/officeDocument/2006/docPropsVTypes"/>
</file>